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华文新魏"/>
          <w:b/>
          <w:bCs/>
          <w:sz w:val="32"/>
          <w:szCs w:val="32"/>
          <w:shd w:val="clear" w:color="auto" w:fill="FFFFFF"/>
        </w:rPr>
      </w:pPr>
      <w:r>
        <w:rPr>
          <w:rFonts w:hint="eastAsia" w:eastAsia="华文新魏"/>
          <w:b/>
          <w:bCs/>
          <w:sz w:val="32"/>
          <w:szCs w:val="32"/>
          <w:shd w:val="clear" w:color="auto" w:fill="FFFFFF"/>
        </w:rPr>
        <w:t>阜阳交通能源投资有限公司发行公司债券主承销商项目</w:t>
      </w:r>
    </w:p>
    <w:p>
      <w:pPr>
        <w:jc w:val="center"/>
        <w:rPr>
          <w:rFonts w:ascii="华文新魏" w:eastAsia="华文新魏"/>
          <w:b/>
          <w:bCs/>
          <w:sz w:val="36"/>
          <w:szCs w:val="36"/>
        </w:rPr>
      </w:pPr>
    </w:p>
    <w:p>
      <w:pPr>
        <w:jc w:val="center"/>
        <w:rPr>
          <w:rFonts w:ascii="华文新魏" w:eastAsia="华文新魏"/>
          <w:b/>
          <w:bCs/>
          <w:sz w:val="36"/>
          <w:szCs w:val="36"/>
        </w:rPr>
      </w:pPr>
    </w:p>
    <w:p>
      <w:pPr>
        <w:jc w:val="center"/>
        <w:rPr>
          <w:rFonts w:ascii="仿宋_GB2312" w:eastAsia="仿宋_GB2312"/>
          <w:sz w:val="28"/>
          <w:szCs w:val="28"/>
        </w:rPr>
      </w:pPr>
      <w:r>
        <w:rPr>
          <w:rFonts w:hint="eastAsia" w:ascii="华文新魏" w:eastAsia="华文新魏"/>
          <w:b/>
          <w:bCs/>
          <w:sz w:val="36"/>
          <w:szCs w:val="36"/>
        </w:rPr>
        <w:t>项目编号：</w:t>
      </w:r>
      <w:r>
        <w:rPr>
          <w:rFonts w:hint="eastAsia" w:ascii="宋体" w:cs="宋体"/>
          <w:b/>
          <w:bCs/>
          <w:spacing w:val="20"/>
          <w:kern w:val="0"/>
          <w:sz w:val="36"/>
          <w:szCs w:val="36"/>
        </w:rPr>
        <w:t>ZDYRFY-2017008</w:t>
      </w:r>
    </w:p>
    <w:p>
      <w:pPr>
        <w:rPr>
          <w:rFonts w:ascii="华文新魏" w:eastAsia="华文新魏"/>
          <w:b/>
          <w:bCs/>
          <w:sz w:val="24"/>
          <w:szCs w:val="24"/>
        </w:rPr>
      </w:pPr>
    </w:p>
    <w:p>
      <w:pPr>
        <w:rPr>
          <w:rFonts w:ascii="华文新魏" w:eastAsia="华文新魏"/>
          <w:b/>
          <w:bCs/>
          <w:sz w:val="24"/>
          <w:szCs w:val="24"/>
        </w:rPr>
      </w:pPr>
    </w:p>
    <w:p>
      <w:pPr>
        <w:rPr>
          <w:rFonts w:ascii="华文新魏" w:eastAsia="华文新魏"/>
          <w:b/>
          <w:bCs/>
          <w:sz w:val="24"/>
          <w:szCs w:val="24"/>
        </w:rPr>
      </w:pPr>
    </w:p>
    <w:p>
      <w:pPr>
        <w:jc w:val="center"/>
        <w:rPr>
          <w:rFonts w:ascii="华文新魏" w:eastAsia="华文新魏"/>
          <w:b/>
          <w:bCs/>
          <w:sz w:val="72"/>
          <w:szCs w:val="72"/>
        </w:rPr>
      </w:pPr>
      <w:r>
        <w:rPr>
          <w:rFonts w:hint="eastAsia" w:ascii="华文新魏" w:eastAsia="华文新魏" w:cs="华文新魏"/>
          <w:b/>
          <w:bCs/>
          <w:sz w:val="72"/>
          <w:szCs w:val="72"/>
        </w:rPr>
        <w:t>招标文件</w:t>
      </w:r>
    </w:p>
    <w:p>
      <w:pPr>
        <w:pStyle w:val="8"/>
        <w:spacing w:line="500" w:lineRule="exact"/>
        <w:rPr>
          <w:rFonts w:eastAsia="仿宋_GB2312"/>
        </w:rPr>
      </w:pPr>
    </w:p>
    <w:p>
      <w:pPr>
        <w:autoSpaceDE w:val="0"/>
        <w:autoSpaceDN w:val="0"/>
        <w:adjustRightInd w:val="0"/>
        <w:snapToGrid w:val="0"/>
        <w:spacing w:line="300" w:lineRule="auto"/>
        <w:ind w:firstLine="903" w:firstLineChars="250"/>
        <w:rPr>
          <w:rFonts w:ascii="宋体" w:cs="宋体"/>
          <w:b/>
          <w:spacing w:val="20"/>
          <w:kern w:val="0"/>
          <w:sz w:val="32"/>
          <w:szCs w:val="44"/>
        </w:rPr>
      </w:pPr>
      <w:r>
        <w:rPr>
          <w:rFonts w:hint="eastAsia" w:ascii="宋体" w:cs="宋体"/>
          <w:b/>
          <w:spacing w:val="20"/>
          <w:kern w:val="0"/>
          <w:sz w:val="32"/>
          <w:szCs w:val="44"/>
        </w:rPr>
        <w:t>招标控制价（小写）：</w:t>
      </w:r>
      <w:r>
        <w:rPr>
          <w:rFonts w:hint="eastAsia" w:ascii="宋体" w:cs="宋体"/>
          <w:b/>
          <w:spacing w:val="20"/>
          <w:kern w:val="0"/>
          <w:sz w:val="32"/>
          <w:szCs w:val="44"/>
          <w:u w:val="single"/>
        </w:rPr>
        <w:t xml:space="preserve"> 1%</w:t>
      </w:r>
      <w:r>
        <w:rPr>
          <w:rFonts w:hint="eastAsia" w:ascii="宋体" w:cs="宋体"/>
          <w:b/>
          <w:bCs/>
          <w:spacing w:val="20"/>
          <w:kern w:val="0"/>
        </w:rPr>
        <w:t>（承销费费率限价）</w:t>
      </w:r>
      <w:r>
        <w:rPr>
          <w:rFonts w:hint="eastAsia" w:ascii="宋体" w:cs="宋体"/>
          <w:b/>
          <w:spacing w:val="20"/>
          <w:kern w:val="0"/>
          <w:sz w:val="32"/>
          <w:szCs w:val="44"/>
        </w:rPr>
        <w:t xml:space="preserve"> </w:t>
      </w:r>
    </w:p>
    <w:p>
      <w:pPr>
        <w:autoSpaceDE w:val="0"/>
        <w:autoSpaceDN w:val="0"/>
        <w:adjustRightInd w:val="0"/>
        <w:snapToGrid w:val="0"/>
        <w:spacing w:line="300" w:lineRule="auto"/>
        <w:ind w:firstLine="1423" w:firstLineChars="394"/>
        <w:rPr>
          <w:rFonts w:ascii="宋体" w:cs="宋体"/>
          <w:b/>
          <w:spacing w:val="20"/>
          <w:kern w:val="0"/>
          <w:sz w:val="18"/>
          <w:szCs w:val="18"/>
        </w:rPr>
      </w:pPr>
      <w:r>
        <w:rPr>
          <w:rFonts w:hint="eastAsia" w:ascii="宋体" w:cs="宋体"/>
          <w:b/>
          <w:spacing w:val="20"/>
          <w:kern w:val="0"/>
          <w:sz w:val="32"/>
          <w:szCs w:val="44"/>
        </w:rPr>
        <w:t xml:space="preserve">  （大写）：</w:t>
      </w:r>
      <w:r>
        <w:rPr>
          <w:rFonts w:hint="eastAsia" w:ascii="宋体" w:cs="宋体"/>
          <w:b/>
          <w:spacing w:val="20"/>
          <w:kern w:val="0"/>
          <w:sz w:val="32"/>
          <w:szCs w:val="44"/>
          <w:u w:val="single"/>
        </w:rPr>
        <w:t xml:space="preserve"> 百分之壹</w:t>
      </w:r>
      <w:r>
        <w:rPr>
          <w:rFonts w:ascii="宋体" w:cs="宋体"/>
          <w:b/>
          <w:bCs/>
          <w:spacing w:val="20"/>
          <w:kern w:val="0"/>
          <w:sz w:val="32"/>
          <w:szCs w:val="32"/>
          <w:u w:val="single"/>
        </w:rPr>
        <w:t xml:space="preserve"> </w:t>
      </w:r>
      <w:r>
        <w:rPr>
          <w:rFonts w:hint="eastAsia" w:ascii="宋体" w:cs="宋体"/>
          <w:b/>
          <w:bCs/>
          <w:spacing w:val="20"/>
          <w:kern w:val="0"/>
        </w:rPr>
        <w:t>（承销费费率限价）</w:t>
      </w:r>
      <w:r>
        <w:rPr>
          <w:rFonts w:hint="eastAsia" w:ascii="宋体" w:cs="宋体"/>
          <w:b/>
          <w:spacing w:val="20"/>
          <w:kern w:val="0"/>
          <w:sz w:val="18"/>
          <w:szCs w:val="18"/>
        </w:rPr>
        <w:t xml:space="preserve"> </w:t>
      </w:r>
    </w:p>
    <w:p>
      <w:pPr>
        <w:rPr>
          <w:rFonts w:ascii="宋体" w:cs="宋体"/>
          <w:b/>
          <w:bCs/>
          <w:sz w:val="32"/>
          <w:szCs w:val="32"/>
        </w:rPr>
      </w:pPr>
    </w:p>
    <w:p>
      <w:pPr>
        <w:rPr>
          <w:rFonts w:ascii="宋体" w:cs="宋体"/>
          <w:b/>
          <w:bCs/>
          <w:sz w:val="32"/>
          <w:szCs w:val="32"/>
        </w:rPr>
      </w:pPr>
    </w:p>
    <w:p>
      <w:pPr>
        <w:rPr>
          <w:rFonts w:ascii="宋体" w:cs="宋体"/>
          <w:b/>
          <w:bCs/>
          <w:sz w:val="32"/>
          <w:szCs w:val="32"/>
        </w:rPr>
      </w:pPr>
    </w:p>
    <w:p>
      <w:pPr>
        <w:rPr>
          <w:rFonts w:ascii="宋体" w:cs="宋体"/>
          <w:b/>
          <w:bCs/>
          <w:sz w:val="32"/>
          <w:szCs w:val="32"/>
        </w:rPr>
      </w:pPr>
    </w:p>
    <w:p>
      <w:pPr>
        <w:rPr>
          <w:rFonts w:ascii="宋体"/>
          <w:b/>
          <w:bCs/>
          <w:spacing w:val="20"/>
          <w:kern w:val="0"/>
          <w:sz w:val="32"/>
          <w:szCs w:val="32"/>
          <w:u w:val="single"/>
        </w:rPr>
      </w:pPr>
      <w:r>
        <w:rPr>
          <w:rFonts w:hint="eastAsia" w:ascii="宋体" w:cs="宋体"/>
          <w:b/>
          <w:bCs/>
          <w:sz w:val="32"/>
          <w:szCs w:val="32"/>
        </w:rPr>
        <w:t>招  标 人：</w:t>
      </w:r>
      <w:r>
        <w:rPr>
          <w:rFonts w:ascii="宋体" w:cs="宋体"/>
          <w:b/>
          <w:bCs/>
          <w:sz w:val="32"/>
          <w:szCs w:val="32"/>
          <w:u w:val="single"/>
        </w:rPr>
        <w:t xml:space="preserve"> </w:t>
      </w:r>
      <w:r>
        <w:rPr>
          <w:rFonts w:hint="eastAsia" w:ascii="宋体" w:cs="宋体"/>
          <w:b/>
          <w:bCs/>
          <w:sz w:val="32"/>
          <w:szCs w:val="32"/>
          <w:u w:val="single"/>
        </w:rPr>
        <w:t>阜阳交通能源投资有限公司</w:t>
      </w:r>
      <w:r>
        <w:rPr>
          <w:rFonts w:ascii="宋体" w:cs="宋体"/>
          <w:b/>
          <w:bCs/>
          <w:sz w:val="32"/>
          <w:szCs w:val="32"/>
          <w:u w:val="single"/>
        </w:rPr>
        <w:t xml:space="preserve">  </w:t>
      </w:r>
      <w:r>
        <w:rPr>
          <w:rFonts w:hint="eastAsia" w:ascii="宋体" w:cs="宋体"/>
          <w:b/>
          <w:bCs/>
          <w:sz w:val="32"/>
          <w:szCs w:val="32"/>
        </w:rPr>
        <w:t>（盖单位章）</w:t>
      </w:r>
    </w:p>
    <w:p>
      <w:pPr>
        <w:rPr>
          <w:rFonts w:ascii="宋体" w:cs="宋体"/>
          <w:b/>
          <w:bCs/>
          <w:sz w:val="32"/>
          <w:szCs w:val="32"/>
        </w:rPr>
      </w:pPr>
      <w:r>
        <w:rPr>
          <w:rFonts w:hint="eastAsia" w:ascii="宋体" w:cs="宋体"/>
          <w:b/>
          <w:bCs/>
          <w:sz w:val="32"/>
          <w:szCs w:val="32"/>
        </w:rPr>
        <w:t>招标代理机构：</w:t>
      </w:r>
      <w:r>
        <w:rPr>
          <w:rFonts w:hint="eastAsia" w:ascii="宋体" w:cs="宋体"/>
          <w:b/>
          <w:bCs/>
          <w:sz w:val="32"/>
          <w:szCs w:val="32"/>
          <w:u w:val="single"/>
        </w:rPr>
        <w:t>中鼎誉润工程咨询有限公司</w:t>
      </w:r>
      <w:r>
        <w:rPr>
          <w:rFonts w:ascii="宋体" w:cs="宋体"/>
          <w:b/>
          <w:bCs/>
          <w:sz w:val="32"/>
          <w:szCs w:val="32"/>
          <w:u w:val="single"/>
        </w:rPr>
        <w:t xml:space="preserve">  </w:t>
      </w:r>
      <w:r>
        <w:rPr>
          <w:rFonts w:hint="eastAsia" w:ascii="宋体" w:cs="宋体"/>
          <w:b/>
          <w:bCs/>
          <w:sz w:val="32"/>
          <w:szCs w:val="32"/>
        </w:rPr>
        <w:t>（盖单位章）</w:t>
      </w:r>
      <w:r>
        <w:rPr>
          <w:rFonts w:ascii="宋体" w:cs="宋体"/>
          <w:b/>
          <w:bCs/>
          <w:sz w:val="32"/>
          <w:szCs w:val="32"/>
        </w:rPr>
        <w:t xml:space="preserve">  </w:t>
      </w:r>
    </w:p>
    <w:p>
      <w:pPr>
        <w:rPr>
          <w:rFonts w:ascii="宋体" w:cs="宋体"/>
          <w:b/>
          <w:bCs/>
          <w:sz w:val="32"/>
          <w:szCs w:val="32"/>
        </w:rPr>
      </w:pPr>
      <w:r>
        <w:rPr>
          <w:rFonts w:hint="eastAsia" w:ascii="宋体" w:cs="宋体"/>
          <w:b/>
          <w:bCs/>
          <w:sz w:val="32"/>
          <w:szCs w:val="32"/>
        </w:rPr>
        <w:t>招标代理机构负责该项目的负责人</w:t>
      </w:r>
      <w:r>
        <w:rPr>
          <w:rFonts w:ascii="宋体" w:cs="宋体"/>
          <w:b/>
          <w:bCs/>
          <w:sz w:val="32"/>
          <w:szCs w:val="32"/>
        </w:rPr>
        <w:t xml:space="preserve"> </w:t>
      </w:r>
      <w:r>
        <w:rPr>
          <w:rFonts w:hint="eastAsia" w:ascii="宋体" w:cs="宋体"/>
          <w:b/>
          <w:bCs/>
          <w:sz w:val="32"/>
          <w:szCs w:val="32"/>
        </w:rPr>
        <w:t>：</w:t>
      </w:r>
      <w:r>
        <w:rPr>
          <w:rFonts w:ascii="宋体" w:cs="宋体"/>
          <w:b/>
          <w:bCs/>
          <w:sz w:val="32"/>
          <w:szCs w:val="32"/>
          <w:u w:val="single"/>
        </w:rPr>
        <w:t xml:space="preserve"> </w:t>
      </w:r>
      <w:r>
        <w:rPr>
          <w:rFonts w:hint="eastAsia" w:ascii="宋体" w:cs="宋体"/>
          <w:b/>
          <w:bCs/>
          <w:sz w:val="32"/>
          <w:szCs w:val="32"/>
          <w:u w:val="single"/>
        </w:rPr>
        <w:t xml:space="preserve">               </w:t>
      </w:r>
      <w:r>
        <w:rPr>
          <w:rFonts w:hint="eastAsia" w:ascii="宋体" w:cs="宋体"/>
          <w:b/>
          <w:bCs/>
          <w:sz w:val="18"/>
          <w:szCs w:val="18"/>
          <w:u w:val="single"/>
        </w:rPr>
        <w:t xml:space="preserve"> </w:t>
      </w:r>
      <w:r>
        <w:rPr>
          <w:rFonts w:hint="eastAsia" w:ascii="宋体" w:cs="宋体"/>
          <w:b/>
          <w:bCs/>
          <w:sz w:val="18"/>
          <w:szCs w:val="18"/>
        </w:rPr>
        <w:t xml:space="preserve"> </w:t>
      </w:r>
      <w:r>
        <w:rPr>
          <w:rFonts w:ascii="宋体" w:cs="宋体"/>
          <w:b/>
          <w:bCs/>
          <w:sz w:val="32"/>
          <w:szCs w:val="32"/>
        </w:rPr>
        <w:t xml:space="preserve">                        </w:t>
      </w:r>
    </w:p>
    <w:p>
      <w:pPr>
        <w:rPr>
          <w:rFonts w:ascii="宋体" w:cs="宋体"/>
          <w:b/>
          <w:bCs/>
          <w:sz w:val="32"/>
          <w:szCs w:val="32"/>
          <w:u w:val="single"/>
        </w:rPr>
      </w:pPr>
      <w:r>
        <w:rPr>
          <w:rFonts w:hint="eastAsia" w:ascii="宋体" w:cs="宋体"/>
          <w:b/>
          <w:bCs/>
          <w:sz w:val="32"/>
          <w:szCs w:val="32"/>
        </w:rPr>
        <w:t xml:space="preserve">                       审核人</w:t>
      </w:r>
      <w:r>
        <w:rPr>
          <w:rFonts w:ascii="宋体" w:cs="宋体"/>
          <w:b/>
          <w:bCs/>
          <w:sz w:val="32"/>
          <w:szCs w:val="32"/>
        </w:rPr>
        <w:t xml:space="preserve"> </w:t>
      </w:r>
      <w:r>
        <w:rPr>
          <w:rFonts w:hint="eastAsia" w:ascii="宋体" w:cs="宋体"/>
          <w:b/>
          <w:bCs/>
          <w:sz w:val="32"/>
          <w:szCs w:val="32"/>
        </w:rPr>
        <w:t>：</w:t>
      </w:r>
      <w:r>
        <w:rPr>
          <w:rFonts w:ascii="宋体" w:cs="宋体"/>
          <w:b/>
          <w:bCs/>
          <w:sz w:val="32"/>
          <w:szCs w:val="32"/>
          <w:u w:val="single"/>
        </w:rPr>
        <w:t xml:space="preserve"> </w:t>
      </w:r>
      <w:r>
        <w:rPr>
          <w:rFonts w:hint="eastAsia" w:ascii="宋体" w:cs="宋体"/>
          <w:b/>
          <w:bCs/>
          <w:sz w:val="32"/>
          <w:szCs w:val="32"/>
          <w:u w:val="single"/>
        </w:rPr>
        <w:t xml:space="preserve">     </w:t>
      </w:r>
      <w:r>
        <w:rPr>
          <w:rFonts w:ascii="宋体" w:cs="宋体"/>
          <w:b/>
          <w:bCs/>
          <w:sz w:val="32"/>
          <w:szCs w:val="32"/>
          <w:u w:val="single"/>
        </w:rPr>
        <w:t xml:space="preserve">  </w:t>
      </w:r>
      <w:r>
        <w:rPr>
          <w:rFonts w:hint="eastAsia" w:ascii="宋体" w:cs="宋体"/>
          <w:b/>
          <w:bCs/>
          <w:sz w:val="32"/>
          <w:szCs w:val="32"/>
          <w:u w:val="single"/>
        </w:rPr>
        <w:t xml:space="preserve">         </w:t>
      </w:r>
      <w:r>
        <w:rPr>
          <w:rFonts w:ascii="宋体" w:cs="宋体"/>
          <w:b/>
          <w:bCs/>
          <w:sz w:val="32"/>
          <w:szCs w:val="32"/>
          <w:u w:val="single"/>
        </w:rPr>
        <w:t xml:space="preserve"> </w:t>
      </w:r>
    </w:p>
    <w:p>
      <w:pPr>
        <w:rPr>
          <w:rFonts w:ascii="宋体" w:cs="宋体"/>
          <w:b/>
          <w:bCs/>
          <w:sz w:val="32"/>
          <w:szCs w:val="32"/>
        </w:rPr>
      </w:pPr>
      <w:r>
        <w:rPr>
          <w:rFonts w:ascii="宋体" w:cs="宋体"/>
          <w:b/>
          <w:bCs/>
          <w:sz w:val="32"/>
          <w:szCs w:val="32"/>
        </w:rPr>
        <w:t xml:space="preserve">                       </w:t>
      </w:r>
      <w:r>
        <w:rPr>
          <w:rFonts w:hint="eastAsia" w:ascii="宋体" w:cs="宋体"/>
          <w:b/>
          <w:bCs/>
          <w:sz w:val="32"/>
          <w:szCs w:val="32"/>
        </w:rPr>
        <w:t>编制人</w:t>
      </w:r>
      <w:r>
        <w:rPr>
          <w:rFonts w:ascii="宋体" w:cs="宋体"/>
          <w:b/>
          <w:bCs/>
          <w:sz w:val="32"/>
          <w:szCs w:val="32"/>
        </w:rPr>
        <w:t xml:space="preserve"> </w:t>
      </w:r>
      <w:r>
        <w:rPr>
          <w:rFonts w:hint="eastAsia" w:ascii="宋体" w:cs="宋体"/>
          <w:b/>
          <w:bCs/>
          <w:sz w:val="32"/>
          <w:szCs w:val="32"/>
        </w:rPr>
        <w:t>：</w:t>
      </w:r>
      <w:r>
        <w:rPr>
          <w:rFonts w:ascii="宋体" w:cs="宋体"/>
          <w:b/>
          <w:bCs/>
          <w:sz w:val="32"/>
          <w:szCs w:val="32"/>
          <w:u w:val="single"/>
        </w:rPr>
        <w:t xml:space="preserve"> </w:t>
      </w:r>
      <w:r>
        <w:rPr>
          <w:rFonts w:hint="eastAsia" w:ascii="宋体" w:cs="宋体"/>
          <w:b/>
          <w:bCs/>
          <w:sz w:val="32"/>
          <w:szCs w:val="32"/>
          <w:u w:val="single"/>
        </w:rPr>
        <w:t xml:space="preserve"> 刘工         </w:t>
      </w:r>
      <w:r>
        <w:rPr>
          <w:rFonts w:ascii="宋体" w:cs="宋体"/>
          <w:b/>
          <w:bCs/>
          <w:sz w:val="32"/>
          <w:szCs w:val="32"/>
          <w:u w:val="single"/>
        </w:rPr>
        <w:t xml:space="preserve">  </w:t>
      </w:r>
    </w:p>
    <w:p>
      <w:pPr>
        <w:jc w:val="center"/>
        <w:rPr>
          <w:rFonts w:ascii="黑体" w:eastAsia="黑体"/>
          <w:sz w:val="30"/>
          <w:szCs w:val="30"/>
        </w:rPr>
      </w:pPr>
      <w:r>
        <w:rPr>
          <w:rFonts w:hint="eastAsia" w:ascii="宋体" w:cs="宋体"/>
          <w:b/>
          <w:bCs/>
          <w:sz w:val="32"/>
          <w:szCs w:val="32"/>
        </w:rPr>
        <w:t>编制时间：</w:t>
      </w:r>
      <w:r>
        <w:rPr>
          <w:rFonts w:ascii="宋体" w:cs="宋体"/>
          <w:b/>
          <w:bCs/>
          <w:sz w:val="32"/>
          <w:szCs w:val="32"/>
          <w:u w:val="single"/>
        </w:rPr>
        <w:t xml:space="preserve"> </w:t>
      </w:r>
      <w:r>
        <w:rPr>
          <w:rFonts w:hint="eastAsia" w:ascii="宋体" w:cs="宋体"/>
          <w:b/>
          <w:bCs/>
          <w:sz w:val="32"/>
          <w:szCs w:val="32"/>
          <w:u w:val="single"/>
        </w:rPr>
        <w:t>2017</w:t>
      </w:r>
      <w:r>
        <w:rPr>
          <w:rFonts w:ascii="宋体" w:cs="宋体"/>
          <w:b/>
          <w:bCs/>
          <w:sz w:val="32"/>
          <w:szCs w:val="32"/>
          <w:u w:val="single"/>
        </w:rPr>
        <w:t xml:space="preserve">  </w:t>
      </w:r>
      <w:r>
        <w:rPr>
          <w:rFonts w:hint="eastAsia" w:ascii="宋体" w:cs="宋体"/>
          <w:b/>
          <w:bCs/>
          <w:sz w:val="32"/>
          <w:szCs w:val="32"/>
        </w:rPr>
        <w:t>年</w:t>
      </w:r>
      <w:r>
        <w:rPr>
          <w:rFonts w:ascii="宋体" w:cs="宋体"/>
          <w:b/>
          <w:bCs/>
          <w:sz w:val="32"/>
          <w:szCs w:val="32"/>
        </w:rPr>
        <w:t xml:space="preserve"> </w:t>
      </w:r>
      <w:r>
        <w:rPr>
          <w:rFonts w:ascii="宋体" w:cs="宋体"/>
          <w:b/>
          <w:bCs/>
          <w:sz w:val="32"/>
          <w:szCs w:val="32"/>
          <w:u w:val="single"/>
        </w:rPr>
        <w:t xml:space="preserve"> </w:t>
      </w:r>
      <w:r>
        <w:rPr>
          <w:rFonts w:hint="eastAsia" w:ascii="宋体" w:cs="宋体"/>
          <w:b/>
          <w:bCs/>
          <w:sz w:val="32"/>
          <w:szCs w:val="32"/>
          <w:u w:val="single"/>
        </w:rPr>
        <w:t xml:space="preserve"> 2</w:t>
      </w:r>
      <w:r>
        <w:rPr>
          <w:rFonts w:ascii="宋体" w:cs="宋体"/>
          <w:b/>
          <w:bCs/>
          <w:sz w:val="32"/>
          <w:szCs w:val="32"/>
          <w:u w:val="single"/>
        </w:rPr>
        <w:t xml:space="preserve">  </w:t>
      </w:r>
      <w:r>
        <w:rPr>
          <w:rFonts w:hint="eastAsia" w:ascii="宋体" w:cs="宋体"/>
          <w:b/>
          <w:bCs/>
          <w:sz w:val="32"/>
          <w:szCs w:val="32"/>
        </w:rPr>
        <w:t>月</w:t>
      </w:r>
      <w:r>
        <w:rPr>
          <w:rFonts w:hint="eastAsia" w:ascii="宋体" w:cs="宋体"/>
          <w:b/>
          <w:bCs/>
          <w:sz w:val="32"/>
          <w:szCs w:val="32"/>
          <w:u w:val="single"/>
        </w:rPr>
        <w:t xml:space="preserve"> 2</w:t>
      </w:r>
      <w:r>
        <w:rPr>
          <w:rFonts w:hint="eastAsia" w:ascii="宋体" w:cs="宋体"/>
          <w:b/>
          <w:bCs/>
          <w:sz w:val="32"/>
          <w:szCs w:val="32"/>
          <w:u w:val="single"/>
          <w:lang w:val="en-US" w:eastAsia="zh-CN"/>
        </w:rPr>
        <w:t>3</w:t>
      </w:r>
      <w:r>
        <w:rPr>
          <w:rFonts w:hint="eastAsia" w:ascii="宋体" w:cs="宋体"/>
          <w:b/>
          <w:bCs/>
          <w:sz w:val="32"/>
          <w:szCs w:val="32"/>
          <w:u w:val="single"/>
        </w:rPr>
        <w:t xml:space="preserve"> </w:t>
      </w:r>
      <w:r>
        <w:rPr>
          <w:rFonts w:hint="eastAsia" w:cs="宋体"/>
          <w:b/>
          <w:bCs/>
          <w:sz w:val="32"/>
          <w:szCs w:val="32"/>
        </w:rPr>
        <w:t>日</w:t>
      </w:r>
    </w:p>
    <w:p>
      <w:pPr>
        <w:pStyle w:val="30"/>
        <w:tabs>
          <w:tab w:val="right" w:leader="dot" w:pos="8787"/>
        </w:tabs>
        <w:jc w:val="center"/>
        <w:rPr>
          <w:rFonts w:ascii="黑体" w:eastAsia="黑体"/>
          <w:sz w:val="30"/>
          <w:szCs w:val="30"/>
        </w:rPr>
      </w:pPr>
    </w:p>
    <w:p>
      <w:pPr>
        <w:rPr>
          <w:rFonts w:ascii="黑体" w:eastAsia="黑体"/>
          <w:sz w:val="30"/>
          <w:szCs w:val="30"/>
        </w:rPr>
      </w:pPr>
    </w:p>
    <w:p>
      <w:pPr>
        <w:rPr>
          <w:rFonts w:ascii="黑体" w:eastAsia="黑体"/>
          <w:sz w:val="30"/>
          <w:szCs w:val="30"/>
        </w:rPr>
      </w:pPr>
    </w:p>
    <w:p>
      <w:pPr>
        <w:pStyle w:val="30"/>
        <w:tabs>
          <w:tab w:val="right" w:leader="dot" w:pos="8787"/>
        </w:tabs>
        <w:jc w:val="center"/>
        <w:rPr>
          <w:rFonts w:ascii="黑体" w:eastAsia="黑体"/>
          <w:sz w:val="30"/>
          <w:szCs w:val="30"/>
        </w:rPr>
      </w:pPr>
      <w:r>
        <w:rPr>
          <w:rFonts w:hint="eastAsia" w:ascii="黑体" w:eastAsia="黑体"/>
          <w:sz w:val="30"/>
          <w:szCs w:val="30"/>
        </w:rPr>
        <w:t>目      录</w:t>
      </w:r>
    </w:p>
    <w:p>
      <w:pPr>
        <w:spacing w:line="500" w:lineRule="exact"/>
        <w:rPr>
          <w:rFonts w:ascii="仿宋_GB2312" w:eastAsia="仿宋_GB2312"/>
          <w:b/>
          <w:bCs/>
          <w:sz w:val="44"/>
          <w:szCs w:val="44"/>
        </w:rPr>
      </w:pPr>
    </w:p>
    <w:p>
      <w:pPr>
        <w:pStyle w:val="30"/>
        <w:tabs>
          <w:tab w:val="right" w:leader="dot" w:pos="9736"/>
        </w:tabs>
        <w:rPr>
          <w:rFonts w:asciiTheme="minorHAnsi" w:hAnsiTheme="minorHAnsi" w:eastAsiaTheme="minorEastAsia" w:cstheme="minorBidi"/>
          <w:sz w:val="21"/>
          <w:szCs w:val="22"/>
        </w:rPr>
      </w:pPr>
      <w:r>
        <w:rPr>
          <w:rFonts w:ascii="楷体_GB2312" w:eastAsia="楷体_GB2312"/>
          <w:b/>
          <w:bCs/>
          <w:sz w:val="30"/>
          <w:szCs w:val="30"/>
        </w:rPr>
        <w:fldChar w:fldCharType="begin"/>
      </w:r>
      <w:r>
        <w:rPr>
          <w:rFonts w:ascii="楷体_GB2312" w:eastAsia="楷体_GB2312"/>
          <w:b/>
          <w:bCs/>
          <w:sz w:val="30"/>
          <w:szCs w:val="30"/>
        </w:rPr>
        <w:instrText xml:space="preserve"> TOC \o "1-1" \h \z \u </w:instrText>
      </w:r>
      <w:r>
        <w:rPr>
          <w:rFonts w:ascii="楷体_GB2312" w:eastAsia="楷体_GB2312"/>
          <w:b/>
          <w:bCs/>
          <w:sz w:val="30"/>
          <w:szCs w:val="30"/>
        </w:rPr>
        <w:fldChar w:fldCharType="separate"/>
      </w:r>
      <w:r>
        <w:fldChar w:fldCharType="begin"/>
      </w:r>
      <w:r>
        <w:instrText xml:space="preserve"> HYPERLINK \l "_Toc475089539" </w:instrText>
      </w:r>
      <w:r>
        <w:fldChar w:fldCharType="separate"/>
      </w:r>
      <w:r>
        <w:rPr>
          <w:rStyle w:val="44"/>
          <w:rFonts w:hint="default" w:ascii="黑体" w:eastAsia="黑体"/>
          <w:b/>
        </w:rPr>
        <w:t>第一章  招标公告(资格后审)</w:t>
      </w:r>
      <w:r>
        <w:tab/>
      </w:r>
      <w:r>
        <w:fldChar w:fldCharType="begin"/>
      </w:r>
      <w:r>
        <w:instrText xml:space="preserve"> PAGEREF _Toc475089539 \h </w:instrText>
      </w:r>
      <w:r>
        <w:fldChar w:fldCharType="separate"/>
      </w:r>
      <w:r>
        <w:t>1</w:t>
      </w:r>
      <w:r>
        <w:fldChar w:fldCharType="end"/>
      </w:r>
      <w:r>
        <w:fldChar w:fldCharType="end"/>
      </w:r>
    </w:p>
    <w:p>
      <w:pPr>
        <w:pStyle w:val="30"/>
        <w:tabs>
          <w:tab w:val="right" w:leader="dot" w:pos="9736"/>
        </w:tabs>
        <w:rPr>
          <w:rFonts w:asciiTheme="minorHAnsi" w:hAnsiTheme="minorHAnsi" w:eastAsiaTheme="minorEastAsia" w:cstheme="minorBidi"/>
          <w:sz w:val="21"/>
          <w:szCs w:val="22"/>
        </w:rPr>
      </w:pPr>
      <w:r>
        <w:fldChar w:fldCharType="begin"/>
      </w:r>
      <w:r>
        <w:instrText xml:space="preserve"> HYPERLINK \l "_Toc475089540" </w:instrText>
      </w:r>
      <w:r>
        <w:fldChar w:fldCharType="separate"/>
      </w:r>
      <w:r>
        <w:rPr>
          <w:rStyle w:val="44"/>
          <w:rFonts w:hint="default" w:ascii="黑体" w:eastAsia="黑体"/>
          <w:b/>
        </w:rPr>
        <w:t>第二章  投标人须知</w:t>
      </w:r>
      <w:r>
        <w:tab/>
      </w:r>
      <w:r>
        <w:fldChar w:fldCharType="begin"/>
      </w:r>
      <w:r>
        <w:instrText xml:space="preserve"> PAGEREF _Toc475089540 \h </w:instrText>
      </w:r>
      <w:r>
        <w:fldChar w:fldCharType="separate"/>
      </w:r>
      <w:r>
        <w:t>3</w:t>
      </w:r>
      <w:r>
        <w:fldChar w:fldCharType="end"/>
      </w:r>
      <w:r>
        <w:fldChar w:fldCharType="end"/>
      </w:r>
    </w:p>
    <w:p>
      <w:pPr>
        <w:pStyle w:val="30"/>
        <w:tabs>
          <w:tab w:val="right" w:leader="dot" w:pos="9736"/>
        </w:tabs>
        <w:rPr>
          <w:rFonts w:asciiTheme="minorHAnsi" w:hAnsiTheme="minorHAnsi" w:eastAsiaTheme="minorEastAsia" w:cstheme="minorBidi"/>
          <w:sz w:val="21"/>
          <w:szCs w:val="22"/>
        </w:rPr>
      </w:pPr>
      <w:r>
        <w:fldChar w:fldCharType="begin"/>
      </w:r>
      <w:r>
        <w:instrText xml:space="preserve"> HYPERLINK \l "_Toc475089541" </w:instrText>
      </w:r>
      <w:r>
        <w:fldChar w:fldCharType="separate"/>
      </w:r>
      <w:r>
        <w:rPr>
          <w:rStyle w:val="44"/>
          <w:rFonts w:hint="default" w:ascii="黑体" w:eastAsia="黑体"/>
          <w:b/>
        </w:rPr>
        <w:t>第三章 评标办法(综合评标法)</w:t>
      </w:r>
      <w:r>
        <w:tab/>
      </w:r>
      <w:r>
        <w:fldChar w:fldCharType="begin"/>
      </w:r>
      <w:r>
        <w:instrText xml:space="preserve"> PAGEREF _Toc475089541 \h </w:instrText>
      </w:r>
      <w:r>
        <w:fldChar w:fldCharType="separate"/>
      </w:r>
      <w:r>
        <w:t>12</w:t>
      </w:r>
      <w:r>
        <w:fldChar w:fldCharType="end"/>
      </w:r>
      <w:r>
        <w:fldChar w:fldCharType="end"/>
      </w:r>
    </w:p>
    <w:p>
      <w:pPr>
        <w:pStyle w:val="30"/>
        <w:tabs>
          <w:tab w:val="right" w:leader="dot" w:pos="9736"/>
        </w:tabs>
        <w:rPr>
          <w:rFonts w:asciiTheme="minorHAnsi" w:hAnsiTheme="minorHAnsi" w:eastAsiaTheme="minorEastAsia" w:cstheme="minorBidi"/>
          <w:sz w:val="21"/>
          <w:szCs w:val="22"/>
        </w:rPr>
      </w:pPr>
      <w:r>
        <w:fldChar w:fldCharType="begin"/>
      </w:r>
      <w:r>
        <w:instrText xml:space="preserve"> HYPERLINK \l "_Toc475089542" </w:instrText>
      </w:r>
      <w:r>
        <w:fldChar w:fldCharType="separate"/>
      </w:r>
      <w:r>
        <w:rPr>
          <w:rStyle w:val="44"/>
          <w:rFonts w:hint="default" w:ascii="黑体" w:eastAsia="黑体"/>
          <w:b/>
        </w:rPr>
        <w:t>第四章  服务内容及要求</w:t>
      </w:r>
      <w:r>
        <w:tab/>
      </w:r>
      <w:r>
        <w:fldChar w:fldCharType="begin"/>
      </w:r>
      <w:r>
        <w:instrText xml:space="preserve"> PAGEREF _Toc475089542 \h </w:instrText>
      </w:r>
      <w:r>
        <w:fldChar w:fldCharType="separate"/>
      </w:r>
      <w:r>
        <w:t>16</w:t>
      </w:r>
      <w:r>
        <w:fldChar w:fldCharType="end"/>
      </w:r>
      <w:r>
        <w:fldChar w:fldCharType="end"/>
      </w:r>
    </w:p>
    <w:p>
      <w:pPr>
        <w:pStyle w:val="30"/>
        <w:tabs>
          <w:tab w:val="right" w:leader="dot" w:pos="9736"/>
        </w:tabs>
        <w:rPr>
          <w:rFonts w:asciiTheme="minorHAnsi" w:hAnsiTheme="minorHAnsi" w:eastAsiaTheme="minorEastAsia" w:cstheme="minorBidi"/>
          <w:sz w:val="21"/>
          <w:szCs w:val="22"/>
        </w:rPr>
      </w:pPr>
      <w:r>
        <w:fldChar w:fldCharType="begin"/>
      </w:r>
      <w:r>
        <w:instrText xml:space="preserve"> HYPERLINK \l "_Toc475089543" </w:instrText>
      </w:r>
      <w:r>
        <w:fldChar w:fldCharType="separate"/>
      </w:r>
      <w:r>
        <w:rPr>
          <w:rStyle w:val="44"/>
          <w:rFonts w:hint="default" w:ascii="黑体" w:eastAsia="黑体"/>
          <w:b/>
        </w:rPr>
        <w:t>第五章  合同协议</w:t>
      </w:r>
      <w:r>
        <w:tab/>
      </w:r>
      <w:r>
        <w:fldChar w:fldCharType="begin"/>
      </w:r>
      <w:r>
        <w:instrText xml:space="preserve"> PAGEREF _Toc475089543 \h </w:instrText>
      </w:r>
      <w:r>
        <w:fldChar w:fldCharType="separate"/>
      </w:r>
      <w:r>
        <w:t>18</w:t>
      </w:r>
      <w:r>
        <w:fldChar w:fldCharType="end"/>
      </w:r>
      <w:r>
        <w:fldChar w:fldCharType="end"/>
      </w:r>
    </w:p>
    <w:p>
      <w:pPr>
        <w:pStyle w:val="30"/>
        <w:tabs>
          <w:tab w:val="right" w:leader="dot" w:pos="9736"/>
        </w:tabs>
        <w:rPr>
          <w:rFonts w:asciiTheme="minorHAnsi" w:hAnsiTheme="minorHAnsi" w:eastAsiaTheme="minorEastAsia" w:cstheme="minorBidi"/>
          <w:sz w:val="21"/>
          <w:szCs w:val="22"/>
        </w:rPr>
      </w:pPr>
      <w:r>
        <w:fldChar w:fldCharType="begin"/>
      </w:r>
      <w:r>
        <w:instrText xml:space="preserve"> HYPERLINK \l "_Toc475089544" </w:instrText>
      </w:r>
      <w:r>
        <w:fldChar w:fldCharType="separate"/>
      </w:r>
      <w:r>
        <w:rPr>
          <w:rStyle w:val="44"/>
          <w:rFonts w:hint="default" w:ascii="黑体" w:eastAsia="黑体"/>
          <w:b/>
        </w:rPr>
        <w:t>第六章  投标文件格式</w:t>
      </w:r>
      <w:r>
        <w:tab/>
      </w:r>
      <w:r>
        <w:fldChar w:fldCharType="begin"/>
      </w:r>
      <w:r>
        <w:instrText xml:space="preserve"> PAGEREF _Toc475089544 \h </w:instrText>
      </w:r>
      <w:r>
        <w:fldChar w:fldCharType="separate"/>
      </w:r>
      <w:r>
        <w:t>19</w:t>
      </w:r>
      <w:r>
        <w:fldChar w:fldCharType="end"/>
      </w:r>
      <w:r>
        <w:fldChar w:fldCharType="end"/>
      </w:r>
    </w:p>
    <w:p>
      <w:pPr>
        <w:spacing w:line="500" w:lineRule="exact"/>
        <w:rPr>
          <w:rFonts w:ascii="楷体_GB2312" w:eastAsia="楷体_GB2312"/>
          <w:b/>
          <w:bCs/>
          <w:sz w:val="30"/>
          <w:szCs w:val="30"/>
        </w:rPr>
      </w:pPr>
      <w:r>
        <w:rPr>
          <w:rFonts w:ascii="楷体_GB2312" w:eastAsia="楷体_GB2312"/>
          <w:b/>
          <w:bCs/>
          <w:sz w:val="30"/>
          <w:szCs w:val="30"/>
        </w:rPr>
        <w:fldChar w:fldCharType="end"/>
      </w:r>
    </w:p>
    <w:p>
      <w:pPr>
        <w:tabs>
          <w:tab w:val="left" w:pos="7740"/>
        </w:tabs>
        <w:spacing w:line="500" w:lineRule="exact"/>
        <w:rPr>
          <w:rFonts w:ascii="楷体_GB2312" w:eastAsia="楷体_GB2312"/>
          <w:b/>
          <w:bCs/>
          <w:spacing w:val="2"/>
          <w:sz w:val="32"/>
          <w:szCs w:val="32"/>
        </w:rPr>
      </w:pPr>
    </w:p>
    <w:p>
      <w:pPr>
        <w:tabs>
          <w:tab w:val="left" w:pos="7740"/>
        </w:tabs>
        <w:spacing w:line="500" w:lineRule="exact"/>
        <w:rPr>
          <w:rFonts w:ascii="楷体_GB2312" w:eastAsia="楷体_GB2312"/>
          <w:b/>
          <w:bCs/>
          <w:spacing w:val="2"/>
          <w:sz w:val="32"/>
          <w:szCs w:val="32"/>
        </w:rPr>
      </w:pPr>
    </w:p>
    <w:p>
      <w:pPr>
        <w:tabs>
          <w:tab w:val="left" w:pos="7740"/>
        </w:tabs>
        <w:spacing w:line="500" w:lineRule="exact"/>
        <w:rPr>
          <w:rFonts w:ascii="楷体_GB2312" w:eastAsia="楷体_GB2312"/>
          <w:b/>
          <w:bCs/>
          <w:sz w:val="32"/>
          <w:szCs w:val="32"/>
        </w:rPr>
      </w:pPr>
    </w:p>
    <w:p>
      <w:pPr>
        <w:spacing w:line="500" w:lineRule="exact"/>
        <w:outlineLvl w:val="0"/>
        <w:rPr>
          <w:rFonts w:ascii="楷体_GB2312" w:hAnsi="宋体" w:eastAsia="楷体_GB2312"/>
          <w:b/>
          <w:bCs/>
          <w:sz w:val="44"/>
          <w:szCs w:val="44"/>
        </w:rPr>
      </w:pPr>
    </w:p>
    <w:p>
      <w:pPr>
        <w:spacing w:line="500" w:lineRule="exact"/>
        <w:outlineLvl w:val="0"/>
        <w:rPr>
          <w:rFonts w:ascii="仿宋_GB2312" w:hAnsi="宋体" w:eastAsia="仿宋_GB2312"/>
          <w:sz w:val="44"/>
          <w:szCs w:val="44"/>
        </w:rPr>
      </w:pPr>
    </w:p>
    <w:p>
      <w:pPr>
        <w:spacing w:line="500" w:lineRule="exact"/>
        <w:outlineLvl w:val="0"/>
        <w:rPr>
          <w:rFonts w:ascii="仿宋_GB2312" w:hAnsi="宋体" w:eastAsia="仿宋_GB2312"/>
          <w:sz w:val="44"/>
          <w:szCs w:val="44"/>
        </w:rPr>
      </w:pPr>
    </w:p>
    <w:p>
      <w:pPr>
        <w:spacing w:line="500" w:lineRule="exact"/>
        <w:outlineLvl w:val="0"/>
        <w:rPr>
          <w:rFonts w:ascii="仿宋_GB2312" w:hAnsi="宋体" w:eastAsia="仿宋_GB2312"/>
          <w:sz w:val="44"/>
          <w:szCs w:val="44"/>
        </w:rPr>
      </w:pPr>
    </w:p>
    <w:p>
      <w:pPr>
        <w:spacing w:line="500" w:lineRule="exact"/>
        <w:outlineLvl w:val="0"/>
        <w:rPr>
          <w:rFonts w:ascii="仿宋_GB2312" w:hAnsi="宋体" w:eastAsia="仿宋_GB2312"/>
          <w:sz w:val="44"/>
          <w:szCs w:val="44"/>
        </w:rPr>
      </w:pPr>
    </w:p>
    <w:p>
      <w:pPr>
        <w:ind w:firstLine="435"/>
        <w:jc w:val="center"/>
        <w:outlineLvl w:val="0"/>
        <w:rPr>
          <w:rFonts w:ascii="黑体" w:eastAsia="黑体"/>
          <w:b/>
          <w:sz w:val="32"/>
          <w:szCs w:val="32"/>
        </w:rPr>
      </w:pPr>
      <w:bookmarkStart w:id="0" w:name="_Toc355604664"/>
      <w:bookmarkStart w:id="1" w:name="_Toc368985787"/>
    </w:p>
    <w:p>
      <w:pPr>
        <w:ind w:firstLine="435"/>
        <w:jc w:val="center"/>
        <w:outlineLvl w:val="0"/>
        <w:rPr>
          <w:rFonts w:ascii="黑体" w:eastAsia="黑体"/>
          <w:b/>
          <w:sz w:val="32"/>
          <w:szCs w:val="32"/>
        </w:rPr>
      </w:pPr>
    </w:p>
    <w:p>
      <w:pPr>
        <w:ind w:firstLine="435"/>
        <w:jc w:val="center"/>
        <w:outlineLvl w:val="0"/>
        <w:rPr>
          <w:rFonts w:ascii="黑体" w:eastAsia="黑体"/>
          <w:b/>
          <w:sz w:val="32"/>
          <w:szCs w:val="32"/>
        </w:rPr>
      </w:pPr>
    </w:p>
    <w:p>
      <w:pPr>
        <w:ind w:firstLine="435"/>
        <w:jc w:val="center"/>
        <w:outlineLvl w:val="0"/>
        <w:rPr>
          <w:rFonts w:ascii="黑体" w:eastAsia="黑体"/>
          <w:b/>
          <w:sz w:val="32"/>
          <w:szCs w:val="32"/>
        </w:rPr>
      </w:pPr>
    </w:p>
    <w:p>
      <w:pPr>
        <w:ind w:firstLine="435"/>
        <w:jc w:val="center"/>
        <w:outlineLvl w:val="0"/>
        <w:rPr>
          <w:rFonts w:ascii="黑体" w:eastAsia="黑体"/>
          <w:b/>
          <w:sz w:val="32"/>
          <w:szCs w:val="32"/>
        </w:rPr>
      </w:pPr>
    </w:p>
    <w:p>
      <w:pPr>
        <w:ind w:firstLine="435"/>
        <w:jc w:val="center"/>
        <w:outlineLvl w:val="0"/>
        <w:rPr>
          <w:rFonts w:ascii="黑体" w:eastAsia="黑体"/>
          <w:b/>
          <w:sz w:val="32"/>
          <w:szCs w:val="32"/>
        </w:rPr>
        <w:sectPr>
          <w:headerReference r:id="rId3" w:type="default"/>
          <w:pgSz w:w="11906" w:h="16838"/>
          <w:pgMar w:top="1440" w:right="1080" w:bottom="1440" w:left="1080" w:header="851" w:footer="851" w:gutter="0"/>
          <w:cols w:space="720" w:num="1"/>
          <w:titlePg/>
          <w:docGrid w:type="lines" w:linePitch="312" w:charSpace="0"/>
        </w:sectPr>
      </w:pPr>
    </w:p>
    <w:p>
      <w:pPr>
        <w:jc w:val="center"/>
        <w:outlineLvl w:val="0"/>
        <w:rPr>
          <w:rFonts w:ascii="黑体" w:eastAsia="黑体"/>
          <w:b/>
          <w:sz w:val="32"/>
          <w:szCs w:val="32"/>
        </w:rPr>
      </w:pPr>
      <w:bookmarkStart w:id="2" w:name="_Toc475089539"/>
      <w:r>
        <w:rPr>
          <w:rFonts w:hint="eastAsia" w:ascii="黑体" w:eastAsia="黑体"/>
          <w:b/>
          <w:sz w:val="32"/>
          <w:szCs w:val="32"/>
        </w:rPr>
        <w:t xml:space="preserve">第一章  </w:t>
      </w:r>
      <w:permStart w:id="0" w:edGrp="everyone"/>
      <w:r>
        <w:rPr>
          <w:rFonts w:hint="eastAsia" w:ascii="黑体" w:eastAsia="黑体"/>
          <w:b/>
          <w:sz w:val="32"/>
          <w:szCs w:val="32"/>
        </w:rPr>
        <w:t>招标公告(资格后审)</w:t>
      </w:r>
      <w:bookmarkEnd w:id="0"/>
      <w:bookmarkEnd w:id="1"/>
      <w:bookmarkEnd w:id="2"/>
      <w:permEnd w:id="0"/>
    </w:p>
    <w:p>
      <w:pPr>
        <w:ind w:firstLine="435"/>
      </w:pPr>
    </w:p>
    <w:p>
      <w:pPr>
        <w:ind w:firstLine="480" w:firstLineChars="200"/>
        <w:jc w:val="center"/>
        <w:rPr>
          <w:rFonts w:ascii="黑体" w:eastAsia="黑体"/>
          <w:sz w:val="24"/>
        </w:rPr>
      </w:pPr>
      <w:permStart w:id="1" w:edGrp="everyone"/>
      <w:r>
        <w:rPr>
          <w:rFonts w:hint="eastAsia" w:ascii="黑体" w:eastAsia="黑体"/>
          <w:sz w:val="24"/>
        </w:rPr>
        <w:t>阜阳交通能源投资有限公司发行公司债券主承销商项目 </w:t>
      </w:r>
    </w:p>
    <w:permEnd w:id="1"/>
    <w:p>
      <w:pPr>
        <w:spacing w:line="420" w:lineRule="exact"/>
        <w:outlineLvl w:val="1"/>
        <w:rPr>
          <w:rFonts w:ascii="黑体" w:eastAsia="黑体"/>
          <w:sz w:val="24"/>
        </w:rPr>
      </w:pPr>
      <w:bookmarkStart w:id="3" w:name="_Toc355604665"/>
      <w:r>
        <w:rPr>
          <w:rFonts w:hint="eastAsia" w:ascii="黑体" w:eastAsia="黑体"/>
          <w:sz w:val="28"/>
          <w:szCs w:val="28"/>
        </w:rPr>
        <w:t>1.招标条件</w:t>
      </w:r>
      <w:bookmarkEnd w:id="3"/>
    </w:p>
    <w:p>
      <w:pPr>
        <w:ind w:firstLine="210" w:firstLineChars="100"/>
        <w:rPr>
          <w:rFonts w:ascii="宋体" w:hAnsi="宋体" w:cs="宋体"/>
        </w:rPr>
      </w:pPr>
      <w:r>
        <w:rPr>
          <w:rFonts w:hint="eastAsia" w:ascii="宋体" w:hAnsi="宋体" w:cs="宋体"/>
        </w:rPr>
        <w:t>本招标项目</w:t>
      </w:r>
      <w:r>
        <w:rPr>
          <w:rFonts w:hint="eastAsia" w:ascii="宋体" w:hAnsi="宋体" w:cs="宋体"/>
          <w:u w:val="single"/>
        </w:rPr>
        <w:t>阜阳交通能源投资有限公司发行公司债券主承销商项目 已</w:t>
      </w:r>
      <w:r>
        <w:rPr>
          <w:rFonts w:hint="eastAsia" w:ascii="宋体" w:hAnsi="宋体" w:cs="宋体"/>
        </w:rPr>
        <w:t>获批准，具备招标条件，现对该项目进行</w:t>
      </w:r>
      <w:permStart w:id="2" w:edGrp="everyone"/>
      <w:r>
        <w:rPr>
          <w:rFonts w:hint="eastAsia" w:ascii="宋体" w:hAnsi="宋体" w:cs="宋体"/>
          <w:bCs/>
          <w:u w:val="single"/>
        </w:rPr>
        <w:t>公开招标</w:t>
      </w:r>
      <w:permEnd w:id="2"/>
      <w:r>
        <w:rPr>
          <w:rFonts w:hint="eastAsia" w:ascii="宋体" w:hAnsi="宋体" w:cs="宋体"/>
        </w:rPr>
        <w:t>,欢迎符合条件的投标人参与投标。</w:t>
      </w:r>
    </w:p>
    <w:p>
      <w:pPr>
        <w:spacing w:line="420" w:lineRule="exact"/>
        <w:outlineLvl w:val="2"/>
        <w:rPr>
          <w:rFonts w:ascii="宋体" w:hAnsi="宋体" w:cs="宋体"/>
        </w:rPr>
      </w:pPr>
      <w:r>
        <w:rPr>
          <w:rFonts w:hint="eastAsia" w:ascii="宋体" w:hAnsi="宋体" w:cs="宋体"/>
        </w:rPr>
        <w:t xml:space="preserve">   1.1 项目名称：</w:t>
      </w:r>
      <w:r>
        <w:rPr>
          <w:rFonts w:hint="eastAsia" w:ascii="宋体" w:hAnsi="宋体" w:cs="宋体"/>
          <w:u w:val="single"/>
        </w:rPr>
        <w:t>阜阳交通能源投资有限公司发行公司债券主承销商项目</w:t>
      </w:r>
    </w:p>
    <w:p>
      <w:pPr>
        <w:spacing w:line="420" w:lineRule="exact"/>
        <w:outlineLvl w:val="2"/>
        <w:rPr>
          <w:rFonts w:ascii="宋体" w:hAnsi="宋体" w:cs="宋体"/>
          <w:u w:val="single"/>
        </w:rPr>
      </w:pPr>
      <w:r>
        <w:rPr>
          <w:rFonts w:hint="eastAsia" w:ascii="宋体" w:hAnsi="宋体" w:cs="宋体"/>
        </w:rPr>
        <w:t xml:space="preserve">   1.2 项目编号：</w:t>
      </w:r>
      <w:r>
        <w:rPr>
          <w:rFonts w:hint="eastAsia" w:ascii="宋体" w:hAnsi="宋体" w:cs="宋体"/>
          <w:u w:val="single"/>
        </w:rPr>
        <w:t>ZDYRFY-2017008</w:t>
      </w:r>
    </w:p>
    <w:p>
      <w:pPr>
        <w:spacing w:line="420" w:lineRule="exact"/>
        <w:outlineLvl w:val="2"/>
        <w:rPr>
          <w:rFonts w:ascii="宋体" w:hAnsi="宋体" w:cs="宋体"/>
          <w:u w:val="single"/>
        </w:rPr>
      </w:pPr>
      <w:r>
        <w:rPr>
          <w:rFonts w:hint="eastAsia" w:ascii="宋体" w:hAnsi="宋体" w:cs="宋体"/>
        </w:rPr>
        <w:t xml:space="preserve">   1.3 招标人：</w:t>
      </w:r>
      <w:r>
        <w:rPr>
          <w:rFonts w:hint="eastAsia" w:ascii="宋体" w:hAnsi="宋体" w:cs="宋体"/>
          <w:u w:val="single"/>
        </w:rPr>
        <w:t>阜阳交通能源投资有限公司</w:t>
      </w:r>
    </w:p>
    <w:p>
      <w:pPr>
        <w:spacing w:line="420" w:lineRule="exact"/>
        <w:outlineLvl w:val="1"/>
        <w:rPr>
          <w:rFonts w:ascii="黑体" w:eastAsia="黑体"/>
          <w:sz w:val="28"/>
          <w:szCs w:val="28"/>
        </w:rPr>
      </w:pPr>
      <w:bookmarkStart w:id="4" w:name="_Toc355604666"/>
      <w:r>
        <w:rPr>
          <w:rFonts w:hint="eastAsia" w:ascii="黑体" w:eastAsia="黑体"/>
          <w:sz w:val="28"/>
          <w:szCs w:val="28"/>
        </w:rPr>
        <w:t>2.项目概况与招标范围</w:t>
      </w:r>
      <w:bookmarkEnd w:id="4"/>
    </w:p>
    <w:p>
      <w:pPr>
        <w:spacing w:line="420" w:lineRule="exact"/>
        <w:outlineLvl w:val="2"/>
        <w:rPr>
          <w:rFonts w:ascii="宋体" w:hAnsi="宋体" w:cs="宋体"/>
          <w:highlight w:val="yellow"/>
          <w:u w:val="single"/>
        </w:rPr>
      </w:pPr>
      <w:r>
        <w:rPr>
          <w:rFonts w:hint="eastAsia"/>
        </w:rPr>
        <w:t xml:space="preserve">   </w:t>
      </w:r>
      <w:r>
        <w:rPr>
          <w:rFonts w:hint="eastAsia" w:ascii="宋体" w:hAnsi="宋体" w:cs="宋体"/>
        </w:rPr>
        <w:t>2.1项目概况:此次拟准备发行15亿元公司债券，发行期限3年。</w:t>
      </w:r>
    </w:p>
    <w:p>
      <w:pPr>
        <w:spacing w:line="420" w:lineRule="exact"/>
        <w:outlineLvl w:val="2"/>
        <w:rPr>
          <w:rFonts w:ascii="宋体" w:hAnsi="宋体" w:cs="宋体"/>
        </w:rPr>
      </w:pPr>
      <w:r>
        <w:rPr>
          <w:rFonts w:hint="eastAsia" w:ascii="宋体" w:hAnsi="宋体" w:cs="宋体"/>
        </w:rPr>
        <w:t xml:space="preserve">   2.2 招标范围：</w:t>
      </w:r>
      <w:bookmarkStart w:id="5" w:name="_Toc355604667"/>
      <w:r>
        <w:rPr>
          <w:rFonts w:hint="eastAsia" w:ascii="宋体"/>
          <w:b/>
          <w:bCs/>
        </w:rPr>
        <w:t>阜阳交通能源投资有限公司发行公司债</w:t>
      </w:r>
      <w:r>
        <w:rPr>
          <w:rFonts w:hint="eastAsia"/>
          <w:b/>
          <w:bCs/>
        </w:rPr>
        <w:t>主承销商</w:t>
      </w:r>
    </w:p>
    <w:p>
      <w:pPr>
        <w:pStyle w:val="26"/>
        <w:spacing w:line="300" w:lineRule="auto"/>
        <w:ind w:left="420" w:hanging="420" w:hangingChars="200"/>
        <w:outlineLvl w:val="2"/>
        <w:rPr>
          <w:rFonts w:ascii="宋体" w:eastAsia="宋体"/>
          <w:b/>
          <w:sz w:val="21"/>
          <w:szCs w:val="21"/>
        </w:rPr>
      </w:pPr>
      <w:r>
        <w:rPr>
          <w:rFonts w:hint="eastAsia" w:ascii="宋体" w:hAnsi="宋体" w:eastAsia="宋体" w:cs="宋体"/>
          <w:kern w:val="2"/>
          <w:sz w:val="21"/>
          <w:szCs w:val="21"/>
        </w:rPr>
        <w:t xml:space="preserve">   3.3</w:t>
      </w:r>
      <w:r>
        <w:rPr>
          <w:rFonts w:ascii="宋体" w:eastAsia="宋体"/>
          <w:b/>
          <w:sz w:val="21"/>
          <w:szCs w:val="21"/>
        </w:rPr>
        <w:t>服务内容：包括但不限于如下方面：</w:t>
      </w:r>
    </w:p>
    <w:p>
      <w:pPr>
        <w:pStyle w:val="26"/>
        <w:spacing w:line="300" w:lineRule="auto"/>
        <w:ind w:firstLine="420"/>
        <w:outlineLvl w:val="2"/>
        <w:rPr>
          <w:rFonts w:ascii="宋体" w:eastAsia="宋体"/>
          <w:sz w:val="21"/>
          <w:szCs w:val="21"/>
        </w:rPr>
      </w:pPr>
      <w:r>
        <w:rPr>
          <w:rFonts w:hint="eastAsia" w:ascii="宋体" w:eastAsia="宋体"/>
          <w:sz w:val="21"/>
          <w:szCs w:val="21"/>
        </w:rPr>
        <w:t>1）</w:t>
      </w:r>
      <w:r>
        <w:rPr>
          <w:rFonts w:ascii="宋体" w:eastAsia="宋体"/>
          <w:sz w:val="21"/>
          <w:szCs w:val="21"/>
        </w:rPr>
        <w:t>发行方案建议：对本次公司债发行规模、期限结构、预计发行利率、关键条款等方案内容提出建议，并提出工作日程安排；</w:t>
      </w:r>
    </w:p>
    <w:p>
      <w:pPr>
        <w:pStyle w:val="26"/>
        <w:spacing w:line="300" w:lineRule="auto"/>
        <w:ind w:left="464" w:leftChars="171" w:hanging="105" w:hangingChars="50"/>
        <w:outlineLvl w:val="2"/>
        <w:rPr>
          <w:rFonts w:ascii="宋体" w:eastAsia="宋体"/>
          <w:sz w:val="21"/>
          <w:szCs w:val="21"/>
        </w:rPr>
      </w:pPr>
      <w:r>
        <w:rPr>
          <w:rFonts w:hint="eastAsia" w:ascii="宋体" w:eastAsia="宋体"/>
          <w:sz w:val="21"/>
          <w:szCs w:val="21"/>
        </w:rPr>
        <w:t xml:space="preserve"> 2）</w:t>
      </w:r>
      <w:r>
        <w:rPr>
          <w:rFonts w:ascii="宋体" w:eastAsia="宋体"/>
          <w:sz w:val="21"/>
          <w:szCs w:val="21"/>
        </w:rPr>
        <w:t>文件准备：统筹中介机构完成申报文件的制作及准备，发表核查意见，按照监管要求提交本次项目相关文件及材料；</w:t>
      </w:r>
    </w:p>
    <w:p>
      <w:pPr>
        <w:pStyle w:val="26"/>
        <w:spacing w:line="300" w:lineRule="auto"/>
        <w:ind w:left="420" w:hanging="420" w:hangingChars="200"/>
        <w:outlineLvl w:val="2"/>
        <w:rPr>
          <w:rFonts w:ascii="宋体" w:eastAsia="宋体"/>
          <w:sz w:val="21"/>
          <w:szCs w:val="21"/>
        </w:rPr>
      </w:pPr>
      <w:r>
        <w:rPr>
          <w:rFonts w:hint="eastAsia" w:ascii="宋体" w:eastAsia="宋体"/>
          <w:sz w:val="21"/>
          <w:szCs w:val="21"/>
        </w:rPr>
        <w:t xml:space="preserve">    3）</w:t>
      </w:r>
      <w:r>
        <w:rPr>
          <w:rFonts w:ascii="宋体" w:eastAsia="宋体"/>
          <w:sz w:val="21"/>
          <w:szCs w:val="21"/>
        </w:rPr>
        <w:t>监管沟通：负责与中国证监会、交易所等监管机构的沟通工作，配合监管机构审核，组织回复监管机构反馈意见；</w:t>
      </w:r>
    </w:p>
    <w:p>
      <w:pPr>
        <w:pStyle w:val="26"/>
        <w:spacing w:line="300" w:lineRule="auto"/>
        <w:ind w:left="420" w:hanging="420" w:hangingChars="200"/>
        <w:outlineLvl w:val="2"/>
        <w:rPr>
          <w:rFonts w:ascii="宋体" w:hAnsi="宋体" w:eastAsia="宋体" w:cs="宋体"/>
          <w:kern w:val="2"/>
          <w:sz w:val="21"/>
          <w:szCs w:val="21"/>
        </w:rPr>
      </w:pPr>
      <w:r>
        <w:rPr>
          <w:rFonts w:hint="eastAsia" w:ascii="宋体" w:eastAsia="宋体"/>
          <w:sz w:val="21"/>
          <w:szCs w:val="21"/>
        </w:rPr>
        <w:t xml:space="preserve">    4）</w:t>
      </w:r>
      <w:r>
        <w:rPr>
          <w:rFonts w:ascii="宋体" w:eastAsia="宋体"/>
          <w:sz w:val="21"/>
          <w:szCs w:val="21"/>
        </w:rPr>
        <w:t>发行及上市：根据市场情况建议发行窗口、确定利率区间、明确承销方式，进行簿记建档并办理后续登记托管、上市手续及提供债券存续期内的付息兑付和持续信息披露等服务。</w:t>
      </w:r>
    </w:p>
    <w:p>
      <w:pPr>
        <w:spacing w:line="420" w:lineRule="exact"/>
        <w:outlineLvl w:val="2"/>
        <w:rPr>
          <w:rFonts w:ascii="黑体" w:eastAsia="黑体"/>
          <w:sz w:val="24"/>
        </w:rPr>
      </w:pPr>
      <w:r>
        <w:rPr>
          <w:rFonts w:hint="eastAsia" w:ascii="黑体" w:hAnsi="黑体" w:eastAsia="黑体" w:cs="黑体"/>
          <w:sz w:val="28"/>
          <w:szCs w:val="28"/>
        </w:rPr>
        <w:t>3.投标人资格要求</w:t>
      </w:r>
      <w:bookmarkEnd w:id="5"/>
    </w:p>
    <w:p>
      <w:pPr>
        <w:widowControl/>
        <w:shd w:val="clear" w:color="auto" w:fill="FFFFFF"/>
        <w:spacing w:line="500" w:lineRule="atLeast"/>
        <w:jc w:val="left"/>
        <w:rPr>
          <w:rFonts w:ascii="宋体" w:hAnsi="宋体" w:cs="宋体"/>
        </w:rPr>
      </w:pPr>
      <w:permStart w:id="3" w:edGrp="everyone"/>
      <w:r>
        <w:rPr>
          <w:rFonts w:hint="eastAsia"/>
        </w:rPr>
        <w:t xml:space="preserve">   </w:t>
      </w:r>
      <w:r>
        <w:rPr>
          <w:rFonts w:hint="eastAsia" w:ascii="宋体" w:hAnsi="宋体" w:cs="宋体"/>
        </w:rPr>
        <w:t>3.1须为具有独立法人资格的中国境内合法经营的证券公司，具有有效的营业执照，并具有中国证券监督管理委员会核发的有效的《经营证券业务许可证》</w:t>
      </w:r>
    </w:p>
    <w:p>
      <w:pPr>
        <w:widowControl/>
        <w:shd w:val="clear" w:color="auto" w:fill="FFFFFF"/>
        <w:spacing w:line="500" w:lineRule="atLeast"/>
        <w:jc w:val="left"/>
        <w:rPr>
          <w:rFonts w:ascii="宋体" w:hAnsi="宋体" w:cs="宋体"/>
        </w:rPr>
      </w:pPr>
      <w:r>
        <w:rPr>
          <w:rFonts w:hint="eastAsia" w:ascii="宋体" w:hAnsi="宋体" w:cs="宋体"/>
        </w:rPr>
        <w:t xml:space="preserve">   3.2投标人应具有良好的资信和商业信誉,没有处于被责令停业、财产被接管、冻结、破产和重组状态；</w:t>
      </w:r>
      <w:r>
        <w:rPr>
          <w:rFonts w:hint="eastAsia" w:ascii="宋体" w:hAnsi="宋体" w:cs="宋体"/>
        </w:rPr>
        <w:br w:type="textWrapping"/>
      </w:r>
      <w:r>
        <w:rPr>
          <w:rFonts w:hint="eastAsia" w:ascii="宋体" w:hAnsi="宋体" w:cs="宋体"/>
        </w:rPr>
        <w:t xml:space="preserve">   3.3投标人债券承销及固定收益业务没有处于被有关监管机构责令整改、取消或暂停业务的状态；</w:t>
      </w:r>
      <w:r>
        <w:rPr>
          <w:rFonts w:hint="eastAsia" w:ascii="宋体" w:hAnsi="宋体" w:cs="宋体"/>
        </w:rPr>
        <w:br w:type="textWrapping"/>
      </w:r>
      <w:r>
        <w:rPr>
          <w:rFonts w:hint="eastAsia" w:ascii="宋体" w:hAnsi="宋体" w:cs="宋体"/>
        </w:rPr>
        <w:t xml:space="preserve">   3.4在参加本次投标活动前两年内，投标人及其高级管理人员在日常运营工作中未出现重大违规违法行为，在债券发行及交易等过程中未出现重大违约行为，近一年未出现监管降级或因涉嫌违法活动正在被有关监管机构进行调查的情形。</w:t>
      </w:r>
    </w:p>
    <w:p>
      <w:pPr>
        <w:widowControl/>
        <w:shd w:val="clear" w:color="auto" w:fill="FFFFFF"/>
        <w:spacing w:line="500" w:lineRule="atLeast"/>
        <w:jc w:val="left"/>
        <w:rPr>
          <w:rFonts w:ascii="宋体" w:hAnsi="宋体" w:cs="宋体"/>
        </w:rPr>
      </w:pPr>
      <w:r>
        <w:rPr>
          <w:rFonts w:hint="eastAsia" w:ascii="宋体" w:hAnsi="宋体" w:cs="宋体"/>
        </w:rPr>
        <w:t xml:space="preserve">   3.5本项目不接受联合体投标。</w:t>
      </w:r>
      <w:permEnd w:id="3"/>
    </w:p>
    <w:p>
      <w:pPr>
        <w:spacing w:line="420" w:lineRule="exact"/>
        <w:outlineLvl w:val="1"/>
        <w:rPr>
          <w:rFonts w:ascii="黑体" w:eastAsia="黑体"/>
          <w:sz w:val="28"/>
          <w:szCs w:val="28"/>
        </w:rPr>
      </w:pPr>
      <w:bookmarkStart w:id="6" w:name="_Toc355604668"/>
      <w:r>
        <w:rPr>
          <w:rFonts w:hint="eastAsia" w:ascii="黑体" w:eastAsia="黑体"/>
          <w:sz w:val="28"/>
          <w:szCs w:val="28"/>
        </w:rPr>
        <w:t>4.招标文件的获取</w:t>
      </w:r>
      <w:bookmarkEnd w:id="6"/>
    </w:p>
    <w:p>
      <w:pPr>
        <w:spacing w:line="420" w:lineRule="exact"/>
        <w:ind w:firstLine="420" w:firstLineChars="200"/>
        <w:outlineLvl w:val="2"/>
      </w:pPr>
      <w:r>
        <w:t>4.1</w:t>
      </w:r>
      <w:r>
        <w:rPr>
          <w:rFonts w:hint="eastAsia" w:cs="宋体"/>
        </w:rPr>
        <w:t>凡有意参加投标者，自</w:t>
      </w:r>
      <w:r>
        <w:rPr>
          <w:rFonts w:hint="eastAsia" w:ascii="宋体" w:cs="宋体"/>
          <w:u w:val="single"/>
        </w:rPr>
        <w:t>2017</w:t>
      </w:r>
      <w:r>
        <w:rPr>
          <w:rFonts w:ascii="宋体" w:cs="宋体"/>
          <w:u w:val="single"/>
        </w:rPr>
        <w:t xml:space="preserve"> </w:t>
      </w:r>
      <w:r>
        <w:rPr>
          <w:rFonts w:hint="eastAsia" w:cs="宋体"/>
        </w:rPr>
        <w:t>年</w:t>
      </w:r>
      <w:r>
        <w:rPr>
          <w:rFonts w:ascii="宋体" w:cs="宋体"/>
          <w:u w:val="single"/>
        </w:rPr>
        <w:t xml:space="preserve"> </w:t>
      </w:r>
      <w:r>
        <w:rPr>
          <w:rFonts w:hint="eastAsia" w:ascii="宋体" w:cs="宋体"/>
          <w:u w:val="single"/>
        </w:rPr>
        <w:t>2</w:t>
      </w:r>
      <w:r>
        <w:rPr>
          <w:rFonts w:ascii="宋体" w:cs="宋体"/>
          <w:u w:val="single"/>
        </w:rPr>
        <w:t xml:space="preserve"> </w:t>
      </w:r>
      <w:r>
        <w:rPr>
          <w:rFonts w:hint="eastAsia" w:cs="宋体"/>
        </w:rPr>
        <w:t>月</w:t>
      </w:r>
      <w:r>
        <w:rPr>
          <w:u w:val="single"/>
        </w:rPr>
        <w:t xml:space="preserve"> </w:t>
      </w:r>
      <w:r>
        <w:rPr>
          <w:rFonts w:hint="eastAsia"/>
          <w:u w:val="single"/>
          <w:lang w:val="en-US" w:eastAsia="zh-CN"/>
        </w:rPr>
        <w:t>23</w:t>
      </w:r>
      <w:r>
        <w:rPr>
          <w:rFonts w:hint="eastAsia"/>
          <w:u w:val="single"/>
        </w:rPr>
        <w:t xml:space="preserve"> </w:t>
      </w:r>
      <w:r>
        <w:rPr>
          <w:u w:val="single"/>
        </w:rPr>
        <w:t xml:space="preserve"> </w:t>
      </w:r>
      <w:r>
        <w:rPr>
          <w:rFonts w:hint="eastAsia" w:cs="宋体"/>
        </w:rPr>
        <w:t>日起可在阜阳市公共资源（集中招投标）交易中心（</w:t>
      </w:r>
      <w:r>
        <w:t>http://jyzx.fy.gov.cn</w:t>
      </w:r>
      <w:r>
        <w:rPr>
          <w:rFonts w:hint="eastAsia" w:cs="宋体"/>
        </w:rPr>
        <w:t>）网站下载招标文件。</w:t>
      </w:r>
    </w:p>
    <w:p>
      <w:pPr>
        <w:spacing w:line="420" w:lineRule="exact"/>
        <w:ind w:firstLine="420" w:firstLineChars="200"/>
        <w:outlineLvl w:val="2"/>
        <w:rPr>
          <w:rFonts w:cs="宋体"/>
          <w:b/>
          <w:bCs/>
        </w:rPr>
      </w:pPr>
      <w:r>
        <w:t>4.2</w:t>
      </w:r>
      <w:r>
        <w:rPr>
          <w:rFonts w:hint="eastAsia"/>
        </w:rPr>
        <w:t>招标文件发售</w:t>
      </w:r>
      <w:r>
        <w:rPr>
          <w:rFonts w:hint="eastAsia" w:cs="宋体"/>
        </w:rPr>
        <w:t>费每标段</w:t>
      </w:r>
      <w:r>
        <w:rPr>
          <w:rFonts w:hint="eastAsia"/>
        </w:rPr>
        <w:t>8</w:t>
      </w:r>
      <w:r>
        <w:t>00</w:t>
      </w:r>
      <w:r>
        <w:rPr>
          <w:rFonts w:hint="eastAsia" w:cs="宋体"/>
        </w:rPr>
        <w:t>元，售后不退。</w:t>
      </w:r>
      <w:bookmarkStart w:id="7" w:name="_Toc355604669"/>
      <w:r>
        <w:rPr>
          <w:rFonts w:hint="eastAsia" w:cs="宋体"/>
          <w:bCs/>
        </w:rPr>
        <w:t>投标人须在开标前</w:t>
      </w:r>
      <w:r>
        <w:rPr>
          <w:rFonts w:cs="宋体"/>
          <w:bCs/>
        </w:rPr>
        <w:t>1</w:t>
      </w:r>
      <w:r>
        <w:rPr>
          <w:rFonts w:hint="eastAsia" w:cs="宋体"/>
          <w:bCs/>
        </w:rPr>
        <w:t>小时内到投标文件递交处交纳招标文件费用并领取收据，未提交收据的投标人，招标人将拒绝接收其投标文件。</w:t>
      </w:r>
    </w:p>
    <w:p>
      <w:pPr>
        <w:spacing w:line="420" w:lineRule="exact"/>
        <w:outlineLvl w:val="2"/>
        <w:rPr>
          <w:rFonts w:ascii="黑体" w:eastAsia="黑体"/>
          <w:sz w:val="24"/>
        </w:rPr>
      </w:pPr>
      <w:r>
        <w:rPr>
          <w:rFonts w:hint="eastAsia" w:ascii="黑体" w:eastAsia="黑体"/>
          <w:sz w:val="24"/>
        </w:rPr>
        <w:t>5.投标文件的递交</w:t>
      </w:r>
      <w:bookmarkEnd w:id="7"/>
    </w:p>
    <w:p>
      <w:pPr>
        <w:spacing w:line="420" w:lineRule="exact"/>
        <w:ind w:firstLine="420" w:firstLineChars="200"/>
        <w:outlineLvl w:val="2"/>
      </w:pPr>
      <w:r>
        <w:t xml:space="preserve">5.1 </w:t>
      </w:r>
      <w:r>
        <w:rPr>
          <w:rFonts w:hint="eastAsia"/>
        </w:rPr>
        <w:t>投标文件递交的截止时间（投标截止时间）为</w:t>
      </w:r>
      <w:r>
        <w:rPr>
          <w:rFonts w:hint="eastAsia"/>
          <w:u w:val="single"/>
        </w:rPr>
        <w:t xml:space="preserve"> 2017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16</w:t>
      </w:r>
      <w:r>
        <w:rPr>
          <w:rFonts w:hint="eastAsia"/>
          <w:u w:val="single"/>
        </w:rPr>
        <w:t xml:space="preserve">  </w:t>
      </w:r>
      <w:r>
        <w:rPr>
          <w:rFonts w:hint="eastAsia"/>
        </w:rPr>
        <w:t>日</w:t>
      </w:r>
      <w:permStart w:id="4" w:edGrp="everyone"/>
      <w:r>
        <w:rPr>
          <w:rFonts w:hint="eastAsia"/>
          <w:u w:val="single"/>
        </w:rPr>
        <w:t xml:space="preserve">  </w:t>
      </w:r>
      <w:r>
        <w:rPr>
          <w:rFonts w:hint="eastAsia"/>
          <w:u w:val="single"/>
          <w:lang w:val="en-US" w:eastAsia="zh-CN"/>
        </w:rPr>
        <w:t>14</w:t>
      </w:r>
      <w:r>
        <w:rPr>
          <w:rFonts w:hint="eastAsia"/>
          <w:u w:val="single"/>
        </w:rPr>
        <w:t xml:space="preserve">   </w:t>
      </w:r>
      <w:permEnd w:id="4"/>
      <w:r>
        <w:rPr>
          <w:rFonts w:hint="eastAsia"/>
        </w:rPr>
        <w:t>时</w:t>
      </w:r>
      <w:permStart w:id="5" w:edGrp="everyone"/>
      <w:r>
        <w:rPr>
          <w:rFonts w:hint="eastAsia"/>
          <w:u w:val="single"/>
        </w:rPr>
        <w:t xml:space="preserve">  </w:t>
      </w:r>
      <w:r>
        <w:rPr>
          <w:rFonts w:hint="eastAsia"/>
          <w:u w:val="single"/>
          <w:lang w:val="en-US" w:eastAsia="zh-CN"/>
        </w:rPr>
        <w:t>30</w:t>
      </w:r>
      <w:r>
        <w:rPr>
          <w:rFonts w:hint="eastAsia"/>
          <w:u w:val="single"/>
        </w:rPr>
        <w:t xml:space="preserve">  </w:t>
      </w:r>
      <w:permEnd w:id="5"/>
      <w:r>
        <w:rPr>
          <w:rFonts w:hint="eastAsia"/>
        </w:rPr>
        <w:t>分，地点为阜阳市公共资源（集中招投标）交易中心开标</w:t>
      </w:r>
      <w:r>
        <w:rPr>
          <w:rFonts w:hint="eastAsia"/>
          <w:u w:val="single"/>
        </w:rPr>
        <w:t xml:space="preserve">  </w:t>
      </w:r>
      <w:r>
        <w:rPr>
          <w:rFonts w:hint="eastAsia"/>
          <w:u w:val="single"/>
          <w:lang w:eastAsia="zh-CN"/>
        </w:rPr>
        <w:t>一</w:t>
      </w:r>
      <w:r>
        <w:rPr>
          <w:rFonts w:hint="eastAsia"/>
          <w:u w:val="single"/>
        </w:rPr>
        <w:t xml:space="preserve"> </w:t>
      </w:r>
      <w:r>
        <w:rPr>
          <w:rFonts w:hint="eastAsia"/>
        </w:rPr>
        <w:t>室。</w:t>
      </w:r>
    </w:p>
    <w:p>
      <w:pPr>
        <w:spacing w:line="420" w:lineRule="exact"/>
        <w:ind w:firstLine="420" w:firstLineChars="200"/>
        <w:outlineLvl w:val="2"/>
      </w:pPr>
      <w:r>
        <w:t>5.2</w:t>
      </w:r>
      <w:r>
        <w:rPr>
          <w:rFonts w:hint="eastAsia"/>
        </w:rPr>
        <w:t>投标文件递交时间</w:t>
      </w:r>
      <w:r>
        <w:t>:</w:t>
      </w:r>
      <w:r>
        <w:rPr>
          <w:rFonts w:hint="eastAsia"/>
        </w:rPr>
        <w:t>投标截止时间前1小时内。</w:t>
      </w:r>
    </w:p>
    <w:p>
      <w:pPr>
        <w:spacing w:line="420" w:lineRule="exact"/>
        <w:ind w:firstLine="420" w:firstLineChars="200"/>
        <w:outlineLvl w:val="2"/>
      </w:pPr>
      <w:r>
        <w:t>5.3</w:t>
      </w:r>
      <w:r>
        <w:rPr>
          <w:rFonts w:hint="eastAsia"/>
        </w:rPr>
        <w:t>逾期送达的或者未送达指定地点的投标文件，招标人不予受理。</w:t>
      </w:r>
    </w:p>
    <w:p>
      <w:pPr>
        <w:pStyle w:val="118"/>
        <w:rPr>
          <w:rFonts w:ascii="宋体" w:hAnsi="宋体" w:cs="宋体"/>
        </w:rPr>
      </w:pPr>
      <w:r>
        <w:rPr>
          <w:rFonts w:hint="eastAsia" w:ascii="宋体" w:hAnsi="宋体" w:cs="宋体"/>
        </w:rPr>
        <w:t>6.发布公告的媒介</w:t>
      </w:r>
    </w:p>
    <w:p>
      <w:pPr>
        <w:spacing w:line="420" w:lineRule="exact"/>
        <w:ind w:firstLine="420" w:firstLineChars="200"/>
        <w:outlineLvl w:val="2"/>
      </w:pPr>
      <w:r>
        <w:rPr>
          <w:rFonts w:hint="eastAsia"/>
        </w:rPr>
        <w:t>本次招标公告同时在以下网站发布：</w:t>
      </w:r>
    </w:p>
    <w:p>
      <w:pPr>
        <w:spacing w:line="420" w:lineRule="exact"/>
        <w:ind w:firstLine="420" w:firstLineChars="200"/>
        <w:outlineLvl w:val="2"/>
      </w:pPr>
      <w:r>
        <w:rPr>
          <w:rFonts w:hint="eastAsia"/>
        </w:rPr>
        <w:t>安徽省招投标信息网http://www.ahtba.org.cn</w:t>
      </w:r>
    </w:p>
    <w:p>
      <w:pPr>
        <w:spacing w:line="420" w:lineRule="exact"/>
        <w:ind w:firstLine="420" w:firstLineChars="200"/>
        <w:outlineLvl w:val="2"/>
      </w:pPr>
      <w:r>
        <w:rPr>
          <w:rFonts w:hint="eastAsia"/>
        </w:rPr>
        <w:t>安徽省建设工程招标投标信息网http://www.act.org.cn</w:t>
      </w:r>
    </w:p>
    <w:p>
      <w:pPr>
        <w:spacing w:line="420" w:lineRule="exact"/>
        <w:ind w:firstLine="420" w:firstLineChars="200"/>
        <w:outlineLvl w:val="2"/>
      </w:pPr>
      <w:r>
        <w:rPr>
          <w:rFonts w:hint="eastAsia"/>
        </w:rPr>
        <w:t>阜阳市公共资源（集中招投标）交易中心</w:t>
      </w:r>
      <w:r>
        <w:fldChar w:fldCharType="begin"/>
      </w:r>
      <w:r>
        <w:instrText xml:space="preserve"> HYPERLINK "http://jyzx.fy.gov.cn" </w:instrText>
      </w:r>
      <w:r>
        <w:fldChar w:fldCharType="separate"/>
      </w:r>
      <w:r>
        <w:rPr>
          <w:rStyle w:val="44"/>
          <w:rFonts w:hint="default" w:ascii="Times New Roman" w:hAnsi="Times New Roman" w:cs="Times New Roman"/>
          <w:sz w:val="21"/>
          <w:szCs w:val="21"/>
        </w:rPr>
        <w:t>http://jyzx.fy.gov.cn</w:t>
      </w:r>
      <w:r>
        <w:rPr>
          <w:rStyle w:val="44"/>
          <w:rFonts w:hint="default" w:ascii="Times New Roman" w:hAnsi="Times New Roman" w:cs="Times New Roman"/>
          <w:sz w:val="21"/>
          <w:szCs w:val="21"/>
        </w:rPr>
        <w:fldChar w:fldCharType="end"/>
      </w:r>
    </w:p>
    <w:p>
      <w:pPr>
        <w:spacing w:line="420" w:lineRule="exact"/>
        <w:outlineLvl w:val="2"/>
        <w:rPr>
          <w:rFonts w:ascii="宋体" w:hAnsi="宋体" w:eastAsia="黑体" w:cs="宋体"/>
          <w:sz w:val="28"/>
          <w:szCs w:val="28"/>
        </w:rPr>
      </w:pPr>
      <w:r>
        <w:rPr>
          <w:rFonts w:hint="eastAsia" w:ascii="宋体" w:hAnsi="宋体" w:eastAsia="黑体" w:cs="宋体"/>
          <w:sz w:val="28"/>
          <w:szCs w:val="28"/>
        </w:rPr>
        <w:t>7.联系方式</w:t>
      </w:r>
    </w:p>
    <w:p>
      <w:pPr>
        <w:spacing w:line="420" w:lineRule="exact"/>
        <w:ind w:firstLine="420" w:firstLineChars="200"/>
        <w:outlineLvl w:val="2"/>
        <w:rPr>
          <w:bCs/>
        </w:rPr>
      </w:pPr>
      <w:r>
        <w:rPr>
          <w:rFonts w:hint="eastAsia"/>
          <w:bCs/>
        </w:rPr>
        <w:t>招标人：阜阳交通能源投资有限公司</w:t>
      </w:r>
    </w:p>
    <w:p>
      <w:pPr>
        <w:spacing w:line="420" w:lineRule="exact"/>
        <w:ind w:firstLine="420" w:firstLineChars="200"/>
        <w:outlineLvl w:val="2"/>
        <w:rPr>
          <w:bCs/>
        </w:rPr>
      </w:pPr>
      <w:r>
        <w:rPr>
          <w:rFonts w:hint="eastAsia"/>
          <w:bCs/>
        </w:rPr>
        <w:t>联 系 人：</w:t>
      </w:r>
      <w:r>
        <w:rPr>
          <w:rFonts w:hint="eastAsia"/>
          <w:bCs/>
          <w:u w:val="single"/>
        </w:rPr>
        <w:t xml:space="preserve">   姚经理、王经理       </w:t>
      </w:r>
    </w:p>
    <w:p>
      <w:pPr>
        <w:spacing w:line="420" w:lineRule="exact"/>
        <w:ind w:firstLine="420" w:firstLineChars="200"/>
        <w:outlineLvl w:val="2"/>
        <w:rPr>
          <w:bCs/>
          <w:u w:val="single"/>
        </w:rPr>
      </w:pPr>
      <w:r>
        <w:rPr>
          <w:rFonts w:hint="eastAsia"/>
          <w:bCs/>
        </w:rPr>
        <w:t>电    话：</w:t>
      </w:r>
      <w:r>
        <w:rPr>
          <w:rFonts w:hint="eastAsia"/>
          <w:bCs/>
          <w:u w:val="single"/>
        </w:rPr>
        <w:t xml:space="preserve">  0558-3920609、0558-3920618</w:t>
      </w:r>
    </w:p>
    <w:p>
      <w:pPr>
        <w:spacing w:line="420" w:lineRule="exact"/>
        <w:ind w:firstLine="420" w:firstLineChars="200"/>
        <w:outlineLvl w:val="2"/>
        <w:rPr>
          <w:bCs/>
        </w:rPr>
      </w:pPr>
      <w:r>
        <w:rPr>
          <w:rFonts w:hint="eastAsia"/>
          <w:bCs/>
        </w:rPr>
        <w:t>招标代理机构：中鼎誉润工程咨询有限公司</w:t>
      </w:r>
    </w:p>
    <w:p>
      <w:pPr>
        <w:spacing w:line="420" w:lineRule="exact"/>
        <w:ind w:firstLine="420" w:firstLineChars="200"/>
        <w:outlineLvl w:val="2"/>
        <w:rPr>
          <w:bCs/>
        </w:rPr>
      </w:pPr>
      <w:r>
        <w:rPr>
          <w:rFonts w:hint="eastAsia"/>
          <w:bCs/>
        </w:rPr>
        <w:t>联系人：</w:t>
      </w:r>
      <w:r>
        <w:rPr>
          <w:rFonts w:hint="eastAsia"/>
          <w:bCs/>
          <w:u w:val="single"/>
        </w:rPr>
        <w:t xml:space="preserve">    刘工            </w:t>
      </w:r>
    </w:p>
    <w:p>
      <w:pPr>
        <w:spacing w:line="420" w:lineRule="exact"/>
        <w:ind w:firstLine="420" w:firstLineChars="200"/>
        <w:outlineLvl w:val="2"/>
        <w:rPr>
          <w:bCs/>
        </w:rPr>
      </w:pPr>
      <w:r>
        <w:rPr>
          <w:rFonts w:hint="eastAsia"/>
          <w:bCs/>
        </w:rPr>
        <w:t>电  话：</w:t>
      </w:r>
      <w:r>
        <w:rPr>
          <w:rFonts w:hint="eastAsia"/>
          <w:bCs/>
          <w:u w:val="single"/>
        </w:rPr>
        <w:t xml:space="preserve">  18900588236      </w:t>
      </w:r>
    </w:p>
    <w:p>
      <w:pPr>
        <w:spacing w:line="420" w:lineRule="exact"/>
        <w:ind w:firstLine="420" w:firstLineChars="200"/>
        <w:outlineLvl w:val="2"/>
      </w:pPr>
      <w:r>
        <w:rPr>
          <w:rFonts w:hint="eastAsia"/>
          <w:bCs/>
        </w:rPr>
        <w:t>电子邮件：1770728887@qq.com</w:t>
      </w:r>
      <w:r>
        <w:rPr>
          <w:rFonts w:hint="eastAsia"/>
        </w:rPr>
        <w:t xml:space="preserve">                                                       </w:t>
      </w:r>
    </w:p>
    <w:p>
      <w:pPr>
        <w:spacing w:line="420" w:lineRule="exact"/>
        <w:ind w:firstLine="420" w:firstLineChars="200"/>
        <w:outlineLvl w:val="2"/>
      </w:pPr>
      <w:r>
        <w:rPr>
          <w:rFonts w:hint="eastAsia"/>
        </w:rPr>
        <w:t xml:space="preserve">                                                                    2017年 2 月2</w:t>
      </w:r>
      <w:r>
        <w:rPr>
          <w:rFonts w:hint="eastAsia"/>
          <w:lang w:val="en-US" w:eastAsia="zh-CN"/>
        </w:rPr>
        <w:t>3</w:t>
      </w:r>
      <w:r>
        <w:rPr>
          <w:rFonts w:hint="eastAsia"/>
        </w:rPr>
        <w:t xml:space="preserve"> 日</w:t>
      </w:r>
    </w:p>
    <w:p>
      <w:pPr>
        <w:spacing w:line="500" w:lineRule="exact"/>
      </w:pPr>
    </w:p>
    <w:p>
      <w:pPr>
        <w:jc w:val="center"/>
        <w:outlineLvl w:val="0"/>
        <w:rPr>
          <w:rFonts w:ascii="黑体" w:eastAsia="黑体"/>
          <w:b/>
          <w:sz w:val="32"/>
          <w:szCs w:val="32"/>
        </w:rPr>
      </w:pPr>
      <w:bookmarkStart w:id="8" w:name="_Toc152045528"/>
      <w:bookmarkStart w:id="9" w:name="_Toc361338235"/>
      <w:bookmarkStart w:id="10" w:name="_Toc144974496"/>
      <w:bookmarkStart w:id="11" w:name="_Toc152042304"/>
      <w:r>
        <w:rPr>
          <w:rFonts w:hint="eastAsia" w:ascii="黑体" w:eastAsia="黑体"/>
          <w:b/>
          <w:sz w:val="32"/>
          <w:szCs w:val="32"/>
        </w:rPr>
        <w:br w:type="page"/>
      </w:r>
      <w:bookmarkStart w:id="12" w:name="_Toc475089540"/>
      <w:r>
        <w:rPr>
          <w:rFonts w:hint="eastAsia" w:ascii="黑体" w:eastAsia="黑体"/>
          <w:b/>
          <w:sz w:val="32"/>
          <w:szCs w:val="32"/>
        </w:rPr>
        <w:t xml:space="preserve">第二章  </w:t>
      </w:r>
      <w:permStart w:id="6" w:edGrp="everyone"/>
      <w:r>
        <w:rPr>
          <w:rFonts w:hint="eastAsia" w:ascii="黑体" w:eastAsia="黑体"/>
          <w:b/>
          <w:sz w:val="32"/>
          <w:szCs w:val="32"/>
        </w:rPr>
        <w:t>投标人须知</w:t>
      </w:r>
      <w:bookmarkEnd w:id="12"/>
      <w:permEnd w:id="6"/>
    </w:p>
    <w:p>
      <w:pPr>
        <w:jc w:val="center"/>
        <w:outlineLvl w:val="1"/>
        <w:rPr>
          <w:rFonts w:ascii="仿宋_GB2312" w:eastAsia="仿宋_GB2312" w:cs="仿宋_GB2312"/>
          <w:b/>
          <w:bCs/>
          <w:sz w:val="36"/>
          <w:szCs w:val="36"/>
        </w:rPr>
      </w:pPr>
      <w:bookmarkStart w:id="13" w:name="_Toc13553"/>
      <w:bookmarkStart w:id="14" w:name="_Toc28026"/>
      <w:r>
        <w:rPr>
          <w:rFonts w:hint="eastAsia" w:ascii="宋体" w:cs="宋体"/>
          <w:bCs/>
          <w:sz w:val="24"/>
        </w:rPr>
        <w:t>投标人须知前附表</w:t>
      </w:r>
      <w:bookmarkEnd w:id="13"/>
      <w:bookmarkEnd w:id="14"/>
    </w:p>
    <w:bookmarkEnd w:id="8"/>
    <w:bookmarkEnd w:id="9"/>
    <w:bookmarkEnd w:id="10"/>
    <w:bookmarkEnd w:id="11"/>
    <w:tbl>
      <w:tblPr>
        <w:tblStyle w:val="46"/>
        <w:tblW w:w="9362" w:type="dxa"/>
        <w:tblInd w:w="0" w:type="dxa"/>
        <w:tblLayout w:type="fixed"/>
        <w:tblCellMar>
          <w:top w:w="0" w:type="dxa"/>
          <w:left w:w="108" w:type="dxa"/>
          <w:bottom w:w="0" w:type="dxa"/>
          <w:right w:w="108" w:type="dxa"/>
        </w:tblCellMar>
      </w:tblPr>
      <w:tblGrid>
        <w:gridCol w:w="974"/>
        <w:gridCol w:w="1294"/>
        <w:gridCol w:w="7094"/>
      </w:tblGrid>
      <w:tr>
        <w:tblPrEx>
          <w:tblLayout w:type="fixed"/>
          <w:tblCellMar>
            <w:top w:w="0" w:type="dxa"/>
            <w:left w:w="108" w:type="dxa"/>
            <w:bottom w:w="0" w:type="dxa"/>
            <w:right w:w="108" w:type="dxa"/>
          </w:tblCellMar>
        </w:tblPrEx>
        <w:trPr>
          <w:cantSplit/>
          <w:trHeight w:val="356" w:hRule="atLeast"/>
          <w:tblHeader/>
        </w:trPr>
        <w:tc>
          <w:tcPr>
            <w:tcW w:w="97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b/>
                <w:bCs/>
              </w:rPr>
            </w:pPr>
            <w:r>
              <w:rPr>
                <w:rFonts w:hint="eastAsia" w:ascii="宋体" w:hAnsi="宋体" w:cs="宋体"/>
                <w:b/>
                <w:bCs/>
              </w:rPr>
              <w:t>条款号</w:t>
            </w:r>
          </w:p>
        </w:tc>
        <w:tc>
          <w:tcPr>
            <w:tcW w:w="129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b/>
                <w:bCs/>
              </w:rPr>
            </w:pPr>
            <w:r>
              <w:rPr>
                <w:rFonts w:hint="eastAsia" w:ascii="宋体" w:hAnsi="宋体" w:cs="宋体"/>
                <w:b/>
                <w:bCs/>
              </w:rPr>
              <w:t>条款名称</w:t>
            </w:r>
          </w:p>
        </w:tc>
        <w:tc>
          <w:tcPr>
            <w:tcW w:w="709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b/>
                <w:bCs/>
              </w:rPr>
            </w:pPr>
            <w:r>
              <w:rPr>
                <w:rFonts w:hint="eastAsia" w:ascii="宋体" w:hAnsi="宋体" w:cs="宋体"/>
                <w:b/>
                <w:bCs/>
              </w:rPr>
              <w:t>编</w:t>
            </w:r>
            <w:r>
              <w:rPr>
                <w:rFonts w:ascii="宋体" w:hAnsi="宋体" w:cs="宋体"/>
                <w:b/>
                <w:bCs/>
              </w:rPr>
              <w:t xml:space="preserve">  </w:t>
            </w:r>
            <w:r>
              <w:rPr>
                <w:rFonts w:hint="eastAsia" w:ascii="宋体" w:hAnsi="宋体" w:cs="宋体"/>
                <w:b/>
                <w:bCs/>
              </w:rPr>
              <w:t>列</w:t>
            </w:r>
            <w:r>
              <w:rPr>
                <w:rFonts w:ascii="宋体" w:hAnsi="宋体" w:cs="宋体"/>
                <w:b/>
                <w:bCs/>
              </w:rPr>
              <w:t xml:space="preserve">  </w:t>
            </w:r>
            <w:r>
              <w:rPr>
                <w:rFonts w:hint="eastAsia" w:ascii="宋体" w:hAnsi="宋体" w:cs="宋体"/>
                <w:b/>
                <w:bCs/>
              </w:rPr>
              <w:t>内</w:t>
            </w:r>
            <w:r>
              <w:rPr>
                <w:rFonts w:ascii="宋体" w:hAnsi="宋体" w:cs="宋体"/>
                <w:b/>
                <w:bCs/>
              </w:rPr>
              <w:t xml:space="preserve">  </w:t>
            </w:r>
            <w:r>
              <w:rPr>
                <w:rFonts w:hint="eastAsia" w:ascii="宋体" w:hAnsi="宋体" w:cs="宋体"/>
                <w:b/>
                <w:bCs/>
              </w:rPr>
              <w:t>容</w:t>
            </w:r>
          </w:p>
        </w:tc>
      </w:tr>
      <w:tr>
        <w:tblPrEx>
          <w:tblLayout w:type="fixed"/>
          <w:tblCellMar>
            <w:top w:w="0" w:type="dxa"/>
            <w:left w:w="108" w:type="dxa"/>
            <w:bottom w:w="0" w:type="dxa"/>
            <w:right w:w="108" w:type="dxa"/>
          </w:tblCellMar>
        </w:tblPrEx>
        <w:trPr>
          <w:trHeight w:val="544" w:hRule="atLeast"/>
        </w:trPr>
        <w:tc>
          <w:tcPr>
            <w:tcW w:w="97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rPr>
            </w:pPr>
            <w:r>
              <w:rPr>
                <w:rFonts w:ascii="宋体" w:hAnsi="宋体" w:cs="宋体"/>
              </w:rPr>
              <w:t>1.1.2</w:t>
            </w:r>
          </w:p>
        </w:tc>
        <w:tc>
          <w:tcPr>
            <w:tcW w:w="129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rPr>
            </w:pPr>
            <w:r>
              <w:rPr>
                <w:rFonts w:hint="eastAsia" w:ascii="宋体" w:hAnsi="宋体" w:cs="宋体"/>
              </w:rPr>
              <w:t>项目名称</w:t>
            </w:r>
          </w:p>
        </w:tc>
        <w:tc>
          <w:tcPr>
            <w:tcW w:w="709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b/>
                <w:bCs/>
              </w:rPr>
            </w:pPr>
            <w:r>
              <w:rPr>
                <w:rFonts w:hint="eastAsia" w:ascii="宋体"/>
              </w:rPr>
              <w:t>阜阳交通能源投资有限公司</w:t>
            </w:r>
            <w:r>
              <w:rPr>
                <w:rFonts w:hint="eastAsia" w:ascii="宋体" w:hAnsi="宋体" w:cs="宋体"/>
              </w:rPr>
              <w:t>发行公司债券主承销商</w:t>
            </w:r>
            <w:r>
              <w:rPr>
                <w:rFonts w:hint="eastAsia" w:ascii="宋体"/>
              </w:rPr>
              <w:t>项目</w:t>
            </w:r>
          </w:p>
        </w:tc>
      </w:tr>
      <w:tr>
        <w:tblPrEx>
          <w:tblLayout w:type="fixed"/>
          <w:tblCellMar>
            <w:top w:w="0" w:type="dxa"/>
            <w:left w:w="108" w:type="dxa"/>
            <w:bottom w:w="0" w:type="dxa"/>
            <w:right w:w="108" w:type="dxa"/>
          </w:tblCellMar>
        </w:tblPrEx>
        <w:tc>
          <w:tcPr>
            <w:tcW w:w="97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rPr>
            </w:pPr>
            <w:r>
              <w:rPr>
                <w:rFonts w:ascii="宋体" w:hAnsi="宋体" w:cs="宋体"/>
              </w:rPr>
              <w:t>1.1.3</w:t>
            </w:r>
          </w:p>
        </w:tc>
        <w:tc>
          <w:tcPr>
            <w:tcW w:w="129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rPr>
            </w:pPr>
            <w:r>
              <w:rPr>
                <w:rFonts w:hint="eastAsia" w:ascii="宋体" w:hAnsi="宋体" w:cs="宋体"/>
              </w:rPr>
              <w:t>招标人</w:t>
            </w:r>
          </w:p>
        </w:tc>
        <w:tc>
          <w:tcPr>
            <w:tcW w:w="7094" w:type="dxa"/>
            <w:tcBorders>
              <w:top w:val="single" w:color="auto" w:sz="4" w:space="0"/>
              <w:left w:val="single" w:color="auto" w:sz="4" w:space="0"/>
              <w:bottom w:val="single" w:color="auto" w:sz="4" w:space="0"/>
              <w:right w:val="single" w:color="auto" w:sz="4" w:space="0"/>
            </w:tcBorders>
            <w:vAlign w:val="center"/>
          </w:tcPr>
          <w:p>
            <w:pPr>
              <w:spacing w:line="420" w:lineRule="exact"/>
              <w:outlineLvl w:val="2"/>
              <w:rPr>
                <w:rFonts w:ascii="宋体" w:hAnsi="宋体" w:cs="宋体"/>
              </w:rPr>
            </w:pPr>
            <w:r>
              <w:rPr>
                <w:rFonts w:hint="eastAsia" w:ascii="宋体" w:hAnsi="宋体" w:cs="宋体"/>
              </w:rPr>
              <w:t>招 标 人：阜阳交通能源投资有限公司</w:t>
            </w:r>
          </w:p>
          <w:p>
            <w:pPr>
              <w:spacing w:line="420" w:lineRule="exact"/>
              <w:outlineLvl w:val="2"/>
              <w:rPr>
                <w:rFonts w:ascii="宋体" w:hAnsi="宋体" w:cs="宋体"/>
              </w:rPr>
            </w:pPr>
            <w:r>
              <w:rPr>
                <w:rFonts w:hint="eastAsia" w:ascii="宋体" w:hAnsi="宋体" w:cs="宋体"/>
              </w:rPr>
              <w:t>联 系 人：姚经理、王经理</w:t>
            </w:r>
          </w:p>
          <w:p>
            <w:pPr>
              <w:spacing w:line="420" w:lineRule="exact"/>
              <w:outlineLvl w:val="2"/>
              <w:rPr>
                <w:rFonts w:ascii="宋体" w:hAnsi="宋体" w:cs="宋体"/>
              </w:rPr>
            </w:pPr>
            <w:r>
              <w:rPr>
                <w:rFonts w:hint="eastAsia" w:ascii="宋体" w:hAnsi="宋体" w:cs="宋体"/>
              </w:rPr>
              <w:t>电    话：0558-3920609   0558-3920618</w:t>
            </w:r>
          </w:p>
        </w:tc>
      </w:tr>
      <w:tr>
        <w:tblPrEx>
          <w:tblLayout w:type="fixed"/>
          <w:tblCellMar>
            <w:top w:w="0" w:type="dxa"/>
            <w:left w:w="108" w:type="dxa"/>
            <w:bottom w:w="0" w:type="dxa"/>
            <w:right w:w="108" w:type="dxa"/>
          </w:tblCellMar>
        </w:tblPrEx>
        <w:tc>
          <w:tcPr>
            <w:tcW w:w="97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rPr>
            </w:pPr>
            <w:r>
              <w:rPr>
                <w:rFonts w:ascii="宋体" w:hAnsi="宋体" w:cs="宋体"/>
              </w:rPr>
              <w:t>1.1.4</w:t>
            </w:r>
          </w:p>
        </w:tc>
        <w:tc>
          <w:tcPr>
            <w:tcW w:w="129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rPr>
            </w:pPr>
            <w:r>
              <w:rPr>
                <w:rFonts w:hint="eastAsia" w:ascii="宋体" w:hAnsi="宋体" w:cs="宋体"/>
              </w:rPr>
              <w:t>招标代理机构</w:t>
            </w:r>
          </w:p>
        </w:tc>
        <w:tc>
          <w:tcPr>
            <w:tcW w:w="7094" w:type="dxa"/>
            <w:tcBorders>
              <w:top w:val="single" w:color="auto" w:sz="4" w:space="0"/>
              <w:left w:val="single" w:color="auto" w:sz="4" w:space="0"/>
              <w:bottom w:val="single" w:color="auto" w:sz="4" w:space="0"/>
              <w:right w:val="single" w:color="auto" w:sz="4" w:space="0"/>
            </w:tcBorders>
            <w:vAlign w:val="center"/>
          </w:tcPr>
          <w:p>
            <w:pPr>
              <w:spacing w:line="420" w:lineRule="exact"/>
              <w:outlineLvl w:val="2"/>
              <w:rPr>
                <w:rFonts w:ascii="宋体" w:hAnsi="宋体" w:cs="宋体"/>
                <w:bCs/>
              </w:rPr>
            </w:pPr>
            <w:r>
              <w:rPr>
                <w:rFonts w:hint="eastAsia" w:ascii="宋体" w:hAnsi="宋体" w:cs="宋体"/>
                <w:bCs/>
              </w:rPr>
              <w:t>招标代理机构：中鼎誉润工程咨询有限公司</w:t>
            </w:r>
          </w:p>
          <w:p>
            <w:pPr>
              <w:spacing w:line="420" w:lineRule="exact"/>
              <w:outlineLvl w:val="2"/>
              <w:rPr>
                <w:rFonts w:ascii="宋体" w:hAnsi="宋体" w:cs="宋体"/>
                <w:bCs/>
              </w:rPr>
            </w:pPr>
            <w:r>
              <w:rPr>
                <w:rFonts w:hint="eastAsia" w:ascii="宋体" w:hAnsi="宋体" w:cs="宋体"/>
                <w:bCs/>
              </w:rPr>
              <w:t>联系人：</w:t>
            </w:r>
            <w:r>
              <w:rPr>
                <w:rFonts w:hint="eastAsia" w:ascii="宋体" w:hAnsi="宋体" w:cs="宋体"/>
                <w:bCs/>
                <w:u w:val="single"/>
              </w:rPr>
              <w:t xml:space="preserve">    刘工           </w:t>
            </w:r>
          </w:p>
          <w:p>
            <w:pPr>
              <w:spacing w:line="420" w:lineRule="exact"/>
              <w:outlineLvl w:val="2"/>
              <w:rPr>
                <w:rFonts w:ascii="宋体" w:hAnsi="宋体" w:cs="宋体"/>
                <w:bCs/>
              </w:rPr>
            </w:pPr>
            <w:r>
              <w:rPr>
                <w:rFonts w:hint="eastAsia" w:ascii="宋体" w:hAnsi="宋体" w:cs="宋体"/>
                <w:bCs/>
              </w:rPr>
              <w:t>电  话：</w:t>
            </w:r>
            <w:r>
              <w:rPr>
                <w:rFonts w:hint="eastAsia" w:ascii="宋体" w:hAnsi="宋体" w:cs="宋体"/>
                <w:bCs/>
                <w:u w:val="single"/>
              </w:rPr>
              <w:t xml:space="preserve">   18900588236     </w:t>
            </w:r>
          </w:p>
          <w:p>
            <w:pPr>
              <w:spacing w:line="420" w:lineRule="exact"/>
              <w:outlineLvl w:val="2"/>
              <w:rPr>
                <w:rFonts w:ascii="宋体" w:hAnsi="宋体" w:cs="宋体"/>
              </w:rPr>
            </w:pPr>
            <w:r>
              <w:rPr>
                <w:rFonts w:hint="eastAsia" w:ascii="宋体" w:hAnsi="宋体" w:cs="宋体"/>
                <w:bCs/>
              </w:rPr>
              <w:t>电子邮件：1770728887@qq.com</w:t>
            </w:r>
            <w:r>
              <w:rPr>
                <w:rFonts w:hint="eastAsia" w:ascii="宋体" w:hAnsi="宋体" w:cs="宋体"/>
              </w:rPr>
              <w:t xml:space="preserve">  </w:t>
            </w:r>
          </w:p>
        </w:tc>
      </w:tr>
      <w:tr>
        <w:tblPrEx>
          <w:tblLayout w:type="fixed"/>
          <w:tblCellMar>
            <w:top w:w="0" w:type="dxa"/>
            <w:left w:w="108" w:type="dxa"/>
            <w:bottom w:w="0" w:type="dxa"/>
            <w:right w:w="108" w:type="dxa"/>
          </w:tblCellMar>
        </w:tblPrEx>
        <w:tc>
          <w:tcPr>
            <w:tcW w:w="97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rPr>
            </w:pPr>
            <w:r>
              <w:rPr>
                <w:rFonts w:ascii="宋体" w:hAnsi="宋体" w:cs="宋体"/>
              </w:rPr>
              <w:t>1.1.5</w:t>
            </w:r>
          </w:p>
        </w:tc>
        <w:tc>
          <w:tcPr>
            <w:tcW w:w="129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rPr>
            </w:pPr>
            <w:r>
              <w:rPr>
                <w:rFonts w:hint="eastAsia" w:ascii="宋体" w:hAnsi="宋体" w:cs="宋体"/>
              </w:rPr>
              <w:t>项目概况</w:t>
            </w:r>
          </w:p>
        </w:tc>
        <w:tc>
          <w:tcPr>
            <w:tcW w:w="7094" w:type="dxa"/>
            <w:tcBorders>
              <w:top w:val="single" w:color="auto" w:sz="4" w:space="0"/>
              <w:left w:val="single" w:color="auto" w:sz="4" w:space="0"/>
              <w:bottom w:val="single" w:color="auto" w:sz="4" w:space="0"/>
              <w:right w:val="single" w:color="auto" w:sz="4" w:space="0"/>
            </w:tcBorders>
            <w:vAlign w:val="center"/>
          </w:tcPr>
          <w:p>
            <w:r>
              <w:rPr>
                <w:rFonts w:hint="eastAsia" w:ascii="宋体" w:hAnsi="宋体" w:cs="宋体"/>
              </w:rPr>
              <w:t>此次拟准备发行15亿元公司债券，发行期限3年</w:t>
            </w:r>
          </w:p>
        </w:tc>
      </w:tr>
      <w:tr>
        <w:tblPrEx>
          <w:tblLayout w:type="fixed"/>
          <w:tblCellMar>
            <w:top w:w="0" w:type="dxa"/>
            <w:left w:w="108" w:type="dxa"/>
            <w:bottom w:w="0" w:type="dxa"/>
            <w:right w:w="108" w:type="dxa"/>
          </w:tblCellMar>
        </w:tblPrEx>
        <w:trPr>
          <w:trHeight w:val="867" w:hRule="atLeast"/>
        </w:trPr>
        <w:tc>
          <w:tcPr>
            <w:tcW w:w="97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rPr>
            </w:pPr>
            <w:r>
              <w:rPr>
                <w:rFonts w:ascii="宋体" w:hAnsi="宋体" w:cs="宋体"/>
              </w:rPr>
              <w:t>1.2</w:t>
            </w:r>
          </w:p>
        </w:tc>
        <w:tc>
          <w:tcPr>
            <w:tcW w:w="129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rPr>
            </w:pPr>
            <w:r>
              <w:rPr>
                <w:rFonts w:hint="eastAsia" w:ascii="宋体" w:hAnsi="宋体" w:cs="宋体"/>
              </w:rPr>
              <w:t>投标人资格要求</w:t>
            </w:r>
          </w:p>
        </w:tc>
        <w:tc>
          <w:tcPr>
            <w:tcW w:w="7094" w:type="dxa"/>
            <w:tcBorders>
              <w:top w:val="single" w:color="auto" w:sz="4" w:space="0"/>
              <w:left w:val="single" w:color="auto" w:sz="4" w:space="0"/>
              <w:bottom w:val="single" w:color="auto" w:sz="4" w:space="0"/>
              <w:right w:val="single" w:color="auto" w:sz="4" w:space="0"/>
            </w:tcBorders>
          </w:tcPr>
          <w:p>
            <w:pPr>
              <w:widowControl/>
              <w:shd w:val="clear" w:color="auto" w:fill="FFFFFF"/>
              <w:spacing w:line="500" w:lineRule="atLeast"/>
              <w:jc w:val="left"/>
              <w:rPr>
                <w:rFonts w:ascii="宋体" w:hAnsi="宋体" w:cs="宋体"/>
              </w:rPr>
            </w:pPr>
            <w:r>
              <w:rPr>
                <w:rFonts w:hint="eastAsia" w:ascii="宋体" w:hAnsi="宋体" w:cs="宋体"/>
              </w:rPr>
              <w:t>1须为具有独立法人资格的中国境内合法经营的证券公司，具有有效的营业执照，并具有中国证券监督管理委员会核发的有效的《经营证券业务许可证》</w:t>
            </w:r>
          </w:p>
          <w:p>
            <w:pPr>
              <w:widowControl/>
              <w:shd w:val="clear" w:color="auto" w:fill="FFFFFF"/>
              <w:spacing w:line="500" w:lineRule="atLeast"/>
              <w:jc w:val="left"/>
              <w:rPr>
                <w:rFonts w:ascii="宋体" w:hAnsi="宋体" w:cs="宋体"/>
              </w:rPr>
            </w:pPr>
            <w:r>
              <w:rPr>
                <w:rFonts w:hint="eastAsia" w:ascii="宋体" w:hAnsi="宋体" w:cs="宋体"/>
              </w:rPr>
              <w:t>2投标人应具有良好的资信和商业信誉,没有处于被责令停业、财产被接管、冻结、破产和重组状态；</w:t>
            </w:r>
            <w:r>
              <w:rPr>
                <w:rFonts w:hint="eastAsia" w:ascii="宋体" w:hAnsi="宋体" w:cs="宋体"/>
              </w:rPr>
              <w:br w:type="textWrapping"/>
            </w:r>
            <w:r>
              <w:rPr>
                <w:rFonts w:hint="eastAsia" w:ascii="宋体" w:hAnsi="宋体" w:cs="宋体"/>
              </w:rPr>
              <w:t>3投标人债券承销及固定收益业务没有处于被有关监管机构责令整改、取消或暂停业务的状态；</w:t>
            </w:r>
            <w:r>
              <w:rPr>
                <w:rFonts w:hint="eastAsia" w:ascii="宋体" w:hAnsi="宋体" w:cs="宋体"/>
              </w:rPr>
              <w:br w:type="textWrapping"/>
            </w:r>
            <w:r>
              <w:rPr>
                <w:rFonts w:hint="eastAsia" w:ascii="宋体" w:hAnsi="宋体" w:cs="宋体"/>
              </w:rPr>
              <w:t>4在参加本次投标活动前两年内，投标人及其高级管理人员在日常运营工作中未出现重大违规违法行为，在债券发行及交易等过程中未出现重大违约行为，近一年未出现监管降级或因涉嫌违法活动正在被有关监管机构进行调查的情形</w:t>
            </w:r>
            <w:r>
              <w:rPr>
                <w:rFonts w:hint="eastAsia" w:ascii="宋体" w:hAnsi="宋体" w:cs="宋体"/>
                <w:lang w:eastAsia="zh-CN"/>
              </w:rPr>
              <w:t>；</w:t>
            </w:r>
          </w:p>
          <w:p>
            <w:pPr>
              <w:widowControl/>
              <w:shd w:val="clear" w:color="auto" w:fill="FFFFFF"/>
              <w:spacing w:line="500" w:lineRule="atLeast"/>
              <w:jc w:val="left"/>
              <w:rPr>
                <w:rFonts w:ascii="宋体" w:hAnsi="宋体" w:cs="宋体"/>
              </w:rPr>
            </w:pPr>
            <w:r>
              <w:rPr>
                <w:rFonts w:hint="eastAsia" w:ascii="宋体" w:hAnsi="宋体" w:cs="宋体"/>
              </w:rPr>
              <w:t>5本项目不接受联合体投标。</w:t>
            </w:r>
          </w:p>
        </w:tc>
      </w:tr>
      <w:tr>
        <w:tblPrEx>
          <w:tblLayout w:type="fixed"/>
          <w:tblCellMar>
            <w:top w:w="0" w:type="dxa"/>
            <w:left w:w="108" w:type="dxa"/>
            <w:bottom w:w="0" w:type="dxa"/>
            <w:right w:w="108" w:type="dxa"/>
          </w:tblCellMar>
        </w:tblPrEx>
        <w:trPr>
          <w:trHeight w:val="762" w:hRule="atLeast"/>
        </w:trPr>
        <w:tc>
          <w:tcPr>
            <w:tcW w:w="97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宋体"/>
              </w:rPr>
            </w:pPr>
            <w:r>
              <w:rPr>
                <w:rFonts w:ascii="宋体" w:hAnsi="宋体" w:cs="宋体"/>
              </w:rPr>
              <w:t>1.4</w:t>
            </w:r>
          </w:p>
        </w:tc>
        <w:tc>
          <w:tcPr>
            <w:tcW w:w="129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宋体"/>
              </w:rPr>
            </w:pPr>
            <w:r>
              <w:rPr>
                <w:rFonts w:hint="eastAsia" w:ascii="宋体" w:hAnsi="宋体" w:cs="宋体"/>
              </w:rPr>
              <w:t>是否接受联合体投标</w:t>
            </w:r>
          </w:p>
        </w:tc>
        <w:tc>
          <w:tcPr>
            <w:tcW w:w="7094" w:type="dxa"/>
            <w:tcBorders>
              <w:top w:val="single" w:color="auto" w:sz="4" w:space="0"/>
              <w:left w:val="single" w:color="auto" w:sz="4" w:space="0"/>
              <w:bottom w:val="single" w:color="auto" w:sz="4" w:space="0"/>
              <w:right w:val="single" w:color="auto" w:sz="4" w:space="0"/>
            </w:tcBorders>
            <w:vAlign w:val="center"/>
          </w:tcPr>
          <w:p>
            <w:pPr>
              <w:snapToGrid w:val="0"/>
              <w:rPr>
                <w:rFonts w:ascii="宋体"/>
              </w:rPr>
            </w:pPr>
            <w:r>
              <w:rPr>
                <w:rFonts w:hint="eastAsia" w:ascii="宋体" w:cs="宋体"/>
                <w:bCs/>
              </w:rPr>
              <w:t>■</w:t>
            </w:r>
            <w:r>
              <w:rPr>
                <w:rFonts w:hint="eastAsia" w:ascii="宋体" w:cs="宋体"/>
              </w:rPr>
              <w:t>不</w:t>
            </w:r>
            <w:r>
              <w:rPr>
                <w:rFonts w:hint="eastAsia" w:ascii="宋体" w:hAnsi="宋体" w:cs="宋体"/>
              </w:rPr>
              <w:t xml:space="preserve">接受     </w:t>
            </w:r>
            <w:r>
              <w:rPr>
                <w:rFonts w:hint="eastAsia" w:ascii="宋体" w:cs="宋体"/>
              </w:rPr>
              <w:t>□接受</w:t>
            </w:r>
          </w:p>
        </w:tc>
      </w:tr>
      <w:tr>
        <w:tblPrEx>
          <w:tblLayout w:type="fixed"/>
          <w:tblCellMar>
            <w:top w:w="0" w:type="dxa"/>
            <w:left w:w="108" w:type="dxa"/>
            <w:bottom w:w="0" w:type="dxa"/>
            <w:right w:w="108" w:type="dxa"/>
          </w:tblCellMar>
        </w:tblPrEx>
        <w:tc>
          <w:tcPr>
            <w:tcW w:w="97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rPr>
            </w:pPr>
          </w:p>
        </w:tc>
        <w:tc>
          <w:tcPr>
            <w:tcW w:w="129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rPr>
            </w:pPr>
            <w:r>
              <w:rPr>
                <w:rFonts w:hint="eastAsia" w:ascii="宋体" w:hAnsi="宋体" w:cs="宋体"/>
              </w:rPr>
              <w:t>投标预备会</w:t>
            </w:r>
          </w:p>
        </w:tc>
        <w:tc>
          <w:tcPr>
            <w:tcW w:w="709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cs="宋体"/>
                <w:bCs/>
              </w:rPr>
            </w:pPr>
          </w:p>
          <w:p>
            <w:pPr>
              <w:snapToGrid w:val="0"/>
              <w:spacing w:line="300" w:lineRule="exact"/>
              <w:rPr>
                <w:rFonts w:ascii="宋体"/>
              </w:rPr>
            </w:pPr>
            <w:r>
              <w:rPr>
                <w:rFonts w:hint="eastAsia" w:ascii="宋体" w:cs="宋体"/>
                <w:bCs/>
              </w:rPr>
              <w:t>■</w:t>
            </w:r>
            <w:r>
              <w:rPr>
                <w:rFonts w:hint="eastAsia" w:ascii="宋体" w:hAnsi="宋体" w:cs="宋体"/>
              </w:rPr>
              <w:t>不召开</w:t>
            </w:r>
          </w:p>
        </w:tc>
      </w:tr>
      <w:tr>
        <w:tblPrEx>
          <w:tblLayout w:type="fixed"/>
          <w:tblCellMar>
            <w:top w:w="0" w:type="dxa"/>
            <w:left w:w="108" w:type="dxa"/>
            <w:bottom w:w="0" w:type="dxa"/>
            <w:right w:w="108" w:type="dxa"/>
          </w:tblCellMar>
        </w:tblPrEx>
        <w:tc>
          <w:tcPr>
            <w:tcW w:w="97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rPr>
            </w:pPr>
          </w:p>
        </w:tc>
        <w:tc>
          <w:tcPr>
            <w:tcW w:w="129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rPr>
            </w:pPr>
            <w:r>
              <w:rPr>
                <w:rFonts w:hint="eastAsia" w:ascii="宋体" w:hAnsi="宋体" w:cs="宋体"/>
              </w:rPr>
              <w:t>招标文件发放</w:t>
            </w:r>
          </w:p>
        </w:tc>
        <w:tc>
          <w:tcPr>
            <w:tcW w:w="709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Arial" w:hAnsi="Arial" w:cs="Arial"/>
                <w:b/>
                <w:bCs/>
              </w:rPr>
            </w:pPr>
            <w:r>
              <w:rPr>
                <w:rFonts w:hint="eastAsia" w:ascii="宋体" w:cs="宋体"/>
                <w:bCs/>
              </w:rPr>
              <w:t>投标人自行从阜阳市公共资源（集中招投标）交易中心http://jyzx.fy.gov.cn网站下载招标文件。</w:t>
            </w:r>
          </w:p>
        </w:tc>
      </w:tr>
      <w:tr>
        <w:tblPrEx>
          <w:tblLayout w:type="fixed"/>
          <w:tblCellMar>
            <w:top w:w="0" w:type="dxa"/>
            <w:left w:w="108" w:type="dxa"/>
            <w:bottom w:w="0" w:type="dxa"/>
            <w:right w:w="108" w:type="dxa"/>
          </w:tblCellMar>
        </w:tblPrEx>
        <w:tc>
          <w:tcPr>
            <w:tcW w:w="97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rPr>
            </w:pPr>
            <w:r>
              <w:rPr>
                <w:rFonts w:hint="eastAsia" w:ascii="宋体" w:hAnsi="宋体" w:cs="宋体"/>
              </w:rPr>
              <w:t>2.2.1</w:t>
            </w:r>
          </w:p>
        </w:tc>
        <w:tc>
          <w:tcPr>
            <w:tcW w:w="12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rPr>
            </w:pPr>
            <w:r>
              <w:rPr>
                <w:rFonts w:hint="eastAsia" w:ascii="宋体" w:hAnsi="宋体" w:cs="宋体"/>
              </w:rPr>
              <w:t>投标人提出问题和要求澄清招标文件的截止时间</w:t>
            </w:r>
          </w:p>
        </w:tc>
        <w:tc>
          <w:tcPr>
            <w:tcW w:w="709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cs="宋体"/>
                <w:bCs/>
              </w:rPr>
            </w:pPr>
            <w:r>
              <w:rPr>
                <w:rFonts w:hint="eastAsia" w:ascii="宋体" w:cs="宋体"/>
                <w:bCs/>
              </w:rPr>
              <w:t>投标截止时间10日前。</w:t>
            </w:r>
          </w:p>
          <w:p>
            <w:pPr>
              <w:spacing w:line="440" w:lineRule="exact"/>
              <w:rPr>
                <w:rFonts w:ascii="宋体" w:cs="宋体"/>
                <w:bCs/>
                <w:u w:val="single"/>
              </w:rPr>
            </w:pPr>
            <w:r>
              <w:rPr>
                <w:rFonts w:hint="eastAsia" w:ascii="宋体" w:cs="宋体"/>
                <w:bCs/>
              </w:rPr>
              <w:t xml:space="preserve">接受异议的电子邮箱：   </w:t>
            </w:r>
            <w:r>
              <w:rPr>
                <w:rFonts w:hint="eastAsia" w:ascii="宋体" w:cs="宋体"/>
                <w:bCs/>
                <w:u w:val="single"/>
              </w:rPr>
              <w:t xml:space="preserve"> 1770728887@qq.com    </w:t>
            </w:r>
          </w:p>
          <w:p>
            <w:pPr>
              <w:spacing w:line="300" w:lineRule="exact"/>
              <w:rPr>
                <w:rFonts w:ascii="宋体"/>
              </w:rPr>
            </w:pPr>
            <w:r>
              <w:rPr>
                <w:rFonts w:hint="eastAsia" w:ascii="宋体" w:cs="宋体"/>
                <w:bCs/>
              </w:rPr>
              <w:t>特别提示：提出异议时须注明项目名称及项目编号，不得署名，对投标人提出的异议未写明项目名称、项目编号，招标人及招标代理公司有权不予回答。</w:t>
            </w:r>
          </w:p>
        </w:tc>
      </w:tr>
      <w:tr>
        <w:tblPrEx>
          <w:tblLayout w:type="fixed"/>
          <w:tblCellMar>
            <w:top w:w="0" w:type="dxa"/>
            <w:left w:w="108" w:type="dxa"/>
            <w:bottom w:w="0" w:type="dxa"/>
            <w:right w:w="108" w:type="dxa"/>
          </w:tblCellMar>
        </w:tblPrEx>
        <w:tc>
          <w:tcPr>
            <w:tcW w:w="97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rPr>
            </w:pPr>
            <w:r>
              <w:rPr>
                <w:rFonts w:hint="eastAsia" w:ascii="宋体" w:hAnsi="宋体" w:cs="宋体"/>
              </w:rPr>
              <w:t>2</w:t>
            </w:r>
            <w:r>
              <w:rPr>
                <w:rFonts w:ascii="宋体" w:hAnsi="宋体" w:cs="宋体"/>
              </w:rPr>
              <w:t>.3</w:t>
            </w:r>
          </w:p>
        </w:tc>
        <w:tc>
          <w:tcPr>
            <w:tcW w:w="12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rPr>
            </w:pPr>
            <w:r>
              <w:rPr>
                <w:rFonts w:hint="eastAsia" w:ascii="宋体" w:hAnsi="宋体" w:cs="宋体"/>
              </w:rPr>
              <w:t>招标人澄清的时间</w:t>
            </w:r>
          </w:p>
        </w:tc>
        <w:tc>
          <w:tcPr>
            <w:tcW w:w="709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rPr>
            </w:pPr>
            <w:r>
              <w:rPr>
                <w:rFonts w:hint="eastAsia" w:ascii="宋体"/>
              </w:rPr>
              <w:t>招标人对已发出的招标文件进行的必要澄清或者修改的内容可能影响投标文件编制的应在投标截止时间15天前，在阜阳市公共资源（集中招投标）交易中心门户网站（http://jyzx.fy.gov.cn）上发布，距投标截止时间不足15天，相应延长投标截止时间</w:t>
            </w:r>
          </w:p>
        </w:tc>
      </w:tr>
      <w:tr>
        <w:tblPrEx>
          <w:tblLayout w:type="fixed"/>
          <w:tblCellMar>
            <w:top w:w="0" w:type="dxa"/>
            <w:left w:w="108" w:type="dxa"/>
            <w:bottom w:w="0" w:type="dxa"/>
            <w:right w:w="108" w:type="dxa"/>
          </w:tblCellMar>
        </w:tblPrEx>
        <w:trPr>
          <w:trHeight w:val="90" w:hRule="atLeast"/>
        </w:trPr>
        <w:tc>
          <w:tcPr>
            <w:tcW w:w="97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rPr>
            </w:pPr>
            <w:r>
              <w:rPr>
                <w:rFonts w:ascii="宋体" w:hAnsi="宋体" w:cs="宋体"/>
              </w:rPr>
              <w:t>3.</w:t>
            </w:r>
            <w:r>
              <w:rPr>
                <w:rFonts w:hint="eastAsia" w:ascii="宋体" w:hAnsi="宋体" w:cs="宋体"/>
              </w:rPr>
              <w:t>1</w:t>
            </w:r>
            <w:r>
              <w:rPr>
                <w:rFonts w:ascii="宋体" w:hAnsi="宋体" w:cs="宋体"/>
              </w:rPr>
              <w:t>.2</w:t>
            </w:r>
          </w:p>
        </w:tc>
        <w:tc>
          <w:tcPr>
            <w:tcW w:w="129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color w:val="FF0000"/>
              </w:rPr>
            </w:pPr>
            <w:r>
              <w:rPr>
                <w:rFonts w:hint="eastAsia" w:ascii="宋体" w:hAnsi="宋体" w:cs="宋体"/>
              </w:rPr>
              <w:t xml:space="preserve">  报价上限</w:t>
            </w:r>
          </w:p>
        </w:tc>
        <w:tc>
          <w:tcPr>
            <w:tcW w:w="709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rPr>
            </w:pPr>
            <w:r>
              <w:rPr>
                <w:rFonts w:hint="eastAsia" w:ascii="宋体"/>
              </w:rPr>
              <w:t>本次投标报价上限为招标控制价（</w:t>
            </w:r>
            <w:r>
              <w:rPr>
                <w:rFonts w:hint="eastAsia" w:ascii="宋体" w:cs="宋体"/>
                <w:spacing w:val="20"/>
                <w:kern w:val="0"/>
              </w:rPr>
              <w:t>承销费费率限价）</w:t>
            </w:r>
            <w:r>
              <w:rPr>
                <w:rFonts w:hint="eastAsia" w:ascii="宋体" w:cs="宋体"/>
                <w:spacing w:val="20"/>
                <w:kern w:val="0"/>
                <w:u w:val="single"/>
              </w:rPr>
              <w:t xml:space="preserve">  1%</w:t>
            </w:r>
            <w:r>
              <w:rPr>
                <w:rFonts w:hint="eastAsia" w:ascii="宋体"/>
              </w:rPr>
              <w:t>。</w:t>
            </w:r>
          </w:p>
        </w:tc>
      </w:tr>
      <w:tr>
        <w:tblPrEx>
          <w:tblLayout w:type="fixed"/>
          <w:tblCellMar>
            <w:top w:w="0" w:type="dxa"/>
            <w:left w:w="108" w:type="dxa"/>
            <w:bottom w:w="0" w:type="dxa"/>
            <w:right w:w="108" w:type="dxa"/>
          </w:tblCellMar>
        </w:tblPrEx>
        <w:trPr>
          <w:trHeight w:val="455" w:hRule="atLeast"/>
        </w:trPr>
        <w:tc>
          <w:tcPr>
            <w:tcW w:w="97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rPr>
            </w:pPr>
            <w:r>
              <w:rPr>
                <w:rFonts w:ascii="宋体" w:hAnsi="宋体" w:cs="宋体"/>
              </w:rPr>
              <w:t>3.3.1</w:t>
            </w:r>
          </w:p>
        </w:tc>
        <w:tc>
          <w:tcPr>
            <w:tcW w:w="129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rPr>
            </w:pPr>
            <w:r>
              <w:rPr>
                <w:rFonts w:hint="eastAsia" w:ascii="宋体" w:hAnsi="宋体" w:cs="宋体"/>
              </w:rPr>
              <w:t>投标有效期</w:t>
            </w:r>
          </w:p>
        </w:tc>
        <w:tc>
          <w:tcPr>
            <w:tcW w:w="709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rPr>
            </w:pPr>
            <w:r>
              <w:rPr>
                <w:rFonts w:hint="eastAsia" w:ascii="宋体"/>
              </w:rPr>
              <w:t>90日历天</w:t>
            </w:r>
          </w:p>
        </w:tc>
      </w:tr>
      <w:tr>
        <w:tblPrEx>
          <w:tblLayout w:type="fixed"/>
          <w:tblCellMar>
            <w:top w:w="0" w:type="dxa"/>
            <w:left w:w="108" w:type="dxa"/>
            <w:bottom w:w="0" w:type="dxa"/>
            <w:right w:w="108" w:type="dxa"/>
          </w:tblCellMar>
        </w:tblPrEx>
        <w:tc>
          <w:tcPr>
            <w:tcW w:w="97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rPr>
            </w:pPr>
            <w:r>
              <w:rPr>
                <w:rFonts w:ascii="宋体" w:hAnsi="宋体" w:cs="宋体"/>
              </w:rPr>
              <w:t>3.4</w:t>
            </w:r>
          </w:p>
        </w:tc>
        <w:tc>
          <w:tcPr>
            <w:tcW w:w="129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rPr>
            </w:pPr>
            <w:r>
              <w:rPr>
                <w:rFonts w:hint="eastAsia" w:ascii="宋体" w:hAnsi="宋体" w:cs="宋体"/>
                <w:kern w:val="0"/>
              </w:rPr>
              <w:t>投标保证金</w:t>
            </w:r>
          </w:p>
        </w:tc>
        <w:tc>
          <w:tcPr>
            <w:tcW w:w="7094" w:type="dxa"/>
            <w:tcBorders>
              <w:top w:val="single" w:color="auto" w:sz="4" w:space="0"/>
              <w:left w:val="single" w:color="auto" w:sz="4" w:space="0"/>
              <w:bottom w:val="single" w:color="auto" w:sz="4" w:space="0"/>
              <w:right w:val="single" w:color="auto" w:sz="4" w:space="0"/>
            </w:tcBorders>
          </w:tcPr>
          <w:p>
            <w:pPr>
              <w:jc w:val="left"/>
              <w:rPr>
                <w:rFonts w:ascii="宋体"/>
                <w:color w:val="000000" w:themeColor="text1"/>
              </w:rPr>
            </w:pPr>
            <w:bookmarkStart w:id="15" w:name="OLE_LINK8"/>
            <w:r>
              <w:rPr>
                <w:rFonts w:hint="eastAsia" w:ascii="宋体" w:cs="宋体"/>
                <w:color w:val="000000" w:themeColor="text1"/>
              </w:rPr>
              <w:t>投标保证金提交形式：转账</w:t>
            </w:r>
          </w:p>
          <w:bookmarkEnd w:id="15"/>
          <w:p>
            <w:pPr>
              <w:jc w:val="left"/>
              <w:rPr>
                <w:rFonts w:ascii="宋体"/>
                <w:color w:val="000000" w:themeColor="text1"/>
              </w:rPr>
            </w:pPr>
            <w:r>
              <w:rPr>
                <w:rFonts w:hint="eastAsia" w:ascii="宋体" w:cs="宋体"/>
                <w:color w:val="000000" w:themeColor="text1"/>
              </w:rPr>
              <w:t>投标保证金金额：人民币</w:t>
            </w:r>
            <w:r>
              <w:rPr>
                <w:rFonts w:ascii="宋体" w:cs="宋体"/>
                <w:color w:val="000000" w:themeColor="text1"/>
                <w:u w:val="single"/>
              </w:rPr>
              <w:t xml:space="preserve"> </w:t>
            </w:r>
            <w:r>
              <w:rPr>
                <w:rFonts w:hint="eastAsia" w:ascii="宋体" w:cs="宋体"/>
                <w:color w:val="000000" w:themeColor="text1"/>
                <w:u w:val="single"/>
              </w:rPr>
              <w:t xml:space="preserve">5 </w:t>
            </w:r>
            <w:r>
              <w:rPr>
                <w:rFonts w:ascii="宋体" w:cs="宋体"/>
                <w:color w:val="000000" w:themeColor="text1"/>
                <w:u w:val="single"/>
              </w:rPr>
              <w:t xml:space="preserve"> </w:t>
            </w:r>
            <w:r>
              <w:rPr>
                <w:rFonts w:hint="eastAsia" w:ascii="宋体" w:cs="宋体"/>
                <w:color w:val="000000" w:themeColor="text1"/>
              </w:rPr>
              <w:t>万元</w:t>
            </w:r>
          </w:p>
          <w:p>
            <w:pPr>
              <w:jc w:val="left"/>
              <w:rPr>
                <w:rFonts w:ascii="宋体" w:cs="宋体"/>
                <w:color w:val="000000" w:themeColor="text1"/>
                <w:u w:val="single"/>
              </w:rPr>
            </w:pPr>
            <w:r>
              <w:rPr>
                <w:rFonts w:hint="eastAsia" w:ascii="宋体" w:cs="宋体"/>
                <w:color w:val="000000" w:themeColor="text1"/>
              </w:rPr>
              <w:t>帐户名称</w:t>
            </w:r>
            <w:r>
              <w:rPr>
                <w:rFonts w:hint="eastAsia" w:ascii="宋体" w:cs="宋体"/>
                <w:color w:val="000000" w:themeColor="text1"/>
                <w:u w:val="single"/>
              </w:rPr>
              <w:t>：阜阳交通能源投资有限公司</w:t>
            </w:r>
          </w:p>
          <w:p>
            <w:pPr>
              <w:jc w:val="left"/>
              <w:rPr>
                <w:rFonts w:ascii="宋体" w:cs="宋体"/>
                <w:color w:val="000000" w:themeColor="text1"/>
                <w:u w:val="single"/>
              </w:rPr>
            </w:pPr>
            <w:r>
              <w:rPr>
                <w:rFonts w:hint="eastAsia" w:ascii="宋体" w:cs="宋体"/>
                <w:color w:val="000000" w:themeColor="text1"/>
              </w:rPr>
              <w:t>开户行：</w:t>
            </w:r>
            <w:r>
              <w:rPr>
                <w:rFonts w:hint="eastAsia" w:ascii="宋体" w:cs="宋体"/>
                <w:color w:val="000000" w:themeColor="text1"/>
                <w:u w:val="single"/>
              </w:rPr>
              <w:t>徽商银行阜阳颍州支行</w:t>
            </w:r>
          </w:p>
          <w:p>
            <w:pPr>
              <w:jc w:val="left"/>
              <w:rPr>
                <w:rFonts w:ascii="宋体" w:cs="宋体"/>
                <w:color w:val="000000" w:themeColor="text1"/>
                <w:u w:val="single"/>
              </w:rPr>
            </w:pPr>
            <w:r>
              <w:rPr>
                <w:rFonts w:hint="eastAsia" w:ascii="宋体" w:cs="宋体"/>
                <w:color w:val="000000" w:themeColor="text1"/>
              </w:rPr>
              <w:t>账户号：</w:t>
            </w:r>
            <w:r>
              <w:rPr>
                <w:rFonts w:hint="eastAsia" w:ascii="宋体" w:cs="宋体"/>
                <w:color w:val="000000" w:themeColor="text1"/>
                <w:u w:val="single"/>
              </w:rPr>
              <w:t>2080 1010 2100 0438 463</w:t>
            </w:r>
          </w:p>
          <w:p>
            <w:pPr>
              <w:jc w:val="left"/>
              <w:rPr>
                <w:rFonts w:ascii="宋体"/>
              </w:rPr>
            </w:pPr>
            <w:r>
              <w:rPr>
                <w:rFonts w:hint="eastAsia" w:ascii="宋体" w:cs="宋体"/>
              </w:rPr>
              <w:t>备注：</w:t>
            </w:r>
          </w:p>
          <w:p>
            <w:pPr>
              <w:numPr>
                <w:ilvl w:val="0"/>
                <w:numId w:val="2"/>
              </w:numPr>
              <w:jc w:val="left"/>
              <w:rPr>
                <w:rFonts w:ascii="宋体" w:cs="宋体"/>
                <w:b/>
                <w:bCs/>
              </w:rPr>
            </w:pPr>
            <w:r>
              <w:rPr>
                <w:rFonts w:hint="eastAsia" w:ascii="宋体" w:cs="宋体"/>
              </w:rPr>
              <w:t>投标保证金应从投标人的账户办理，并确保在此项目约定递交投标文件截止时间1个小时前到账。</w:t>
            </w:r>
            <w:r>
              <w:rPr>
                <w:rFonts w:hint="eastAsia" w:ascii="宋体" w:cs="宋体"/>
                <w:b/>
                <w:bCs/>
              </w:rPr>
              <w:t>并在递交投标文件时一并提交转账凭证原件。</w:t>
            </w:r>
          </w:p>
        </w:tc>
      </w:tr>
      <w:tr>
        <w:tblPrEx>
          <w:tblLayout w:type="fixed"/>
          <w:tblCellMar>
            <w:top w:w="0" w:type="dxa"/>
            <w:left w:w="108" w:type="dxa"/>
            <w:bottom w:w="0" w:type="dxa"/>
            <w:right w:w="108" w:type="dxa"/>
          </w:tblCellMar>
        </w:tblPrEx>
        <w:tc>
          <w:tcPr>
            <w:tcW w:w="97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rPr>
            </w:pPr>
            <w:r>
              <w:rPr>
                <w:rFonts w:ascii="宋体" w:hAnsi="宋体" w:cs="宋体"/>
              </w:rPr>
              <w:t>3.</w:t>
            </w:r>
            <w:r>
              <w:rPr>
                <w:rFonts w:hint="eastAsia" w:ascii="宋体" w:hAnsi="宋体" w:cs="宋体"/>
              </w:rPr>
              <w:t>5</w:t>
            </w:r>
            <w:r>
              <w:rPr>
                <w:rFonts w:ascii="宋体" w:hAnsi="宋体" w:cs="宋体"/>
              </w:rPr>
              <w:t>.3</w:t>
            </w:r>
          </w:p>
        </w:tc>
        <w:tc>
          <w:tcPr>
            <w:tcW w:w="129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rPr>
            </w:pPr>
            <w:r>
              <w:rPr>
                <w:rFonts w:hint="eastAsia" w:ascii="宋体" w:hAnsi="宋体" w:cs="宋体"/>
              </w:rPr>
              <w:t>签字和盖章要求</w:t>
            </w:r>
          </w:p>
        </w:tc>
        <w:tc>
          <w:tcPr>
            <w:tcW w:w="709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rPr>
            </w:pPr>
            <w:r>
              <w:rPr>
                <w:rFonts w:hint="eastAsia" w:ascii="宋体"/>
              </w:rPr>
              <w:t>投标文件相应地方应加盖单位公章（不得以投标专用章、分公司章等其他形式印章代替,下同）并经单位法定代表人或其委托代理人签字或盖章。</w:t>
            </w:r>
          </w:p>
        </w:tc>
      </w:tr>
      <w:tr>
        <w:tblPrEx>
          <w:tblLayout w:type="fixed"/>
          <w:tblCellMar>
            <w:top w:w="0" w:type="dxa"/>
            <w:left w:w="108" w:type="dxa"/>
            <w:bottom w:w="0" w:type="dxa"/>
            <w:right w:w="108" w:type="dxa"/>
          </w:tblCellMar>
        </w:tblPrEx>
        <w:trPr>
          <w:trHeight w:val="421" w:hRule="atLeast"/>
        </w:trPr>
        <w:tc>
          <w:tcPr>
            <w:tcW w:w="97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rPr>
            </w:pPr>
            <w:r>
              <w:rPr>
                <w:rFonts w:ascii="宋体" w:hAnsi="宋体" w:cs="宋体"/>
              </w:rPr>
              <w:t>3.</w:t>
            </w:r>
            <w:r>
              <w:rPr>
                <w:rFonts w:hint="eastAsia" w:ascii="宋体" w:hAnsi="宋体" w:cs="宋体"/>
              </w:rPr>
              <w:t>5</w:t>
            </w:r>
            <w:r>
              <w:rPr>
                <w:rFonts w:ascii="宋体" w:hAnsi="宋体" w:cs="宋体"/>
              </w:rPr>
              <w:t>.4</w:t>
            </w:r>
          </w:p>
        </w:tc>
        <w:tc>
          <w:tcPr>
            <w:tcW w:w="129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rPr>
            </w:pPr>
            <w:r>
              <w:rPr>
                <w:rFonts w:hint="eastAsia" w:ascii="宋体" w:hAnsi="宋体" w:cs="宋体"/>
              </w:rPr>
              <w:t>投标文件份数</w:t>
            </w:r>
          </w:p>
        </w:tc>
        <w:tc>
          <w:tcPr>
            <w:tcW w:w="709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rPr>
            </w:pPr>
            <w:r>
              <w:rPr>
                <w:rFonts w:hint="eastAsia" w:ascii="宋体"/>
              </w:rPr>
              <w:t>正本1份,副本</w:t>
            </w:r>
            <w:permStart w:id="7" w:edGrp="everyone"/>
            <w:r>
              <w:rPr>
                <w:rFonts w:hint="eastAsia" w:ascii="宋体"/>
              </w:rPr>
              <w:t xml:space="preserve"> 4</w:t>
            </w:r>
            <w:permEnd w:id="7"/>
            <w:r>
              <w:rPr>
                <w:rFonts w:hint="eastAsia" w:ascii="宋体"/>
              </w:rPr>
              <w:t>份。</w:t>
            </w:r>
          </w:p>
        </w:tc>
      </w:tr>
      <w:tr>
        <w:tblPrEx>
          <w:tblLayout w:type="fixed"/>
          <w:tblCellMar>
            <w:top w:w="0" w:type="dxa"/>
            <w:left w:w="108" w:type="dxa"/>
            <w:bottom w:w="0" w:type="dxa"/>
            <w:right w:w="108" w:type="dxa"/>
          </w:tblCellMar>
        </w:tblPrEx>
        <w:trPr>
          <w:trHeight w:val="194" w:hRule="atLeast"/>
        </w:trPr>
        <w:tc>
          <w:tcPr>
            <w:tcW w:w="97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rPr>
            </w:pPr>
            <w:r>
              <w:rPr>
                <w:rFonts w:ascii="宋体" w:hAnsi="宋体" w:cs="宋体"/>
              </w:rPr>
              <w:t>3.</w:t>
            </w:r>
            <w:r>
              <w:rPr>
                <w:rFonts w:hint="eastAsia" w:ascii="宋体" w:hAnsi="宋体" w:cs="宋体"/>
              </w:rPr>
              <w:t>5</w:t>
            </w:r>
            <w:r>
              <w:rPr>
                <w:rFonts w:ascii="宋体" w:hAnsi="宋体" w:cs="宋体"/>
              </w:rPr>
              <w:t>.5</w:t>
            </w:r>
          </w:p>
        </w:tc>
        <w:tc>
          <w:tcPr>
            <w:tcW w:w="129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rPr>
            </w:pPr>
            <w:r>
              <w:rPr>
                <w:rFonts w:hint="eastAsia" w:ascii="宋体" w:hAnsi="宋体" w:cs="宋体"/>
              </w:rPr>
              <w:t>装订要求</w:t>
            </w:r>
          </w:p>
        </w:tc>
        <w:tc>
          <w:tcPr>
            <w:tcW w:w="709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rPr>
            </w:pPr>
            <w:r>
              <w:rPr>
                <w:rFonts w:hint="eastAsia" w:ascii="宋体" w:cs="宋体"/>
                <w:bCs/>
              </w:rPr>
              <w:t>■</w:t>
            </w:r>
            <w:r>
              <w:rPr>
                <w:rFonts w:hint="eastAsia" w:ascii="宋体" w:hAnsi="宋体" w:cs="宋体"/>
              </w:rPr>
              <w:t>不分册装订</w:t>
            </w:r>
          </w:p>
          <w:p>
            <w:pPr>
              <w:snapToGrid w:val="0"/>
              <w:spacing w:line="300" w:lineRule="exact"/>
              <w:rPr>
                <w:rFonts w:ascii="宋体"/>
                <w:u w:val="single"/>
              </w:rPr>
            </w:pPr>
            <w:r>
              <w:rPr>
                <w:rFonts w:hint="eastAsia" w:ascii="宋体" w:cs="宋体"/>
              </w:rPr>
              <w:t>□</w:t>
            </w:r>
            <w:r>
              <w:rPr>
                <w:rFonts w:hint="eastAsia" w:ascii="宋体" w:hAnsi="宋体" w:cs="宋体"/>
              </w:rPr>
              <w:t>分册装订，分别为：</w:t>
            </w:r>
            <w:r>
              <w:rPr>
                <w:rFonts w:hint="eastAsia" w:ascii="宋体" w:hAnsi="宋体" w:cs="宋体"/>
                <w:u w:val="single"/>
              </w:rPr>
              <w:t xml:space="preserve">          </w:t>
            </w:r>
          </w:p>
        </w:tc>
      </w:tr>
      <w:tr>
        <w:tblPrEx>
          <w:tblLayout w:type="fixed"/>
          <w:tblCellMar>
            <w:top w:w="0" w:type="dxa"/>
            <w:left w:w="108" w:type="dxa"/>
            <w:bottom w:w="0" w:type="dxa"/>
            <w:right w:w="108" w:type="dxa"/>
          </w:tblCellMar>
        </w:tblPrEx>
        <w:trPr>
          <w:trHeight w:val="539" w:hRule="atLeast"/>
        </w:trPr>
        <w:tc>
          <w:tcPr>
            <w:tcW w:w="97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rPr>
            </w:pPr>
            <w:r>
              <w:rPr>
                <w:rFonts w:ascii="宋体" w:hAnsi="宋体" w:cs="宋体"/>
              </w:rPr>
              <w:t>4.1.1</w:t>
            </w:r>
          </w:p>
        </w:tc>
        <w:tc>
          <w:tcPr>
            <w:tcW w:w="129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rPr>
            </w:pPr>
            <w:r>
              <w:rPr>
                <w:rFonts w:hint="eastAsia" w:ascii="宋体" w:hAnsi="宋体" w:cs="宋体"/>
              </w:rPr>
              <w:t>投标文件密封要求</w:t>
            </w:r>
          </w:p>
        </w:tc>
        <w:tc>
          <w:tcPr>
            <w:tcW w:w="7094"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cs="宋体"/>
                <w:bCs/>
              </w:rPr>
            </w:pPr>
            <w:r>
              <w:rPr>
                <w:rFonts w:hint="eastAsia" w:ascii="宋体" w:cs="宋体"/>
                <w:bCs/>
              </w:rPr>
              <w:t>按照投标人须知第3.5.5款规定的投标文件组成内容，投标文件应按以下要求装订：</w:t>
            </w:r>
          </w:p>
          <w:p>
            <w:pPr>
              <w:snapToGrid w:val="0"/>
              <w:spacing w:line="300" w:lineRule="exact"/>
              <w:rPr>
                <w:rFonts w:ascii="宋体" w:cs="宋体"/>
                <w:bCs/>
              </w:rPr>
            </w:pPr>
            <w:r>
              <w:rPr>
                <w:rFonts w:hint="eastAsia" w:ascii="宋体" w:cs="宋体"/>
                <w:bCs/>
              </w:rPr>
              <w:t>每册均采用胶装方式装订，装订应牢固、不易拆散和换页，不得采用活页装订。投标文件正副本集中密封或密封都可。</w:t>
            </w:r>
          </w:p>
        </w:tc>
      </w:tr>
      <w:tr>
        <w:tblPrEx>
          <w:tblLayout w:type="fixed"/>
          <w:tblCellMar>
            <w:top w:w="0" w:type="dxa"/>
            <w:left w:w="108" w:type="dxa"/>
            <w:bottom w:w="0" w:type="dxa"/>
            <w:right w:w="108" w:type="dxa"/>
          </w:tblCellMar>
        </w:tblPrEx>
        <w:trPr>
          <w:trHeight w:val="1029" w:hRule="atLeast"/>
        </w:trPr>
        <w:tc>
          <w:tcPr>
            <w:tcW w:w="97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rPr>
            </w:pPr>
            <w:r>
              <w:rPr>
                <w:rFonts w:hint="eastAsia" w:ascii="宋体" w:cs="宋体"/>
                <w:bCs/>
              </w:rPr>
              <w:t>4.1.2</w:t>
            </w:r>
          </w:p>
        </w:tc>
        <w:tc>
          <w:tcPr>
            <w:tcW w:w="129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rPr>
            </w:pPr>
            <w:r>
              <w:rPr>
                <w:rFonts w:hint="eastAsia" w:ascii="宋体" w:cs="宋体"/>
                <w:bCs/>
              </w:rPr>
              <w:t>封套上写明</w:t>
            </w:r>
          </w:p>
        </w:tc>
        <w:tc>
          <w:tcPr>
            <w:tcW w:w="709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88" w:lineRule="auto"/>
              <w:rPr>
                <w:rFonts w:ascii="宋体" w:cs="宋体"/>
                <w:bCs/>
              </w:rPr>
            </w:pPr>
            <w:r>
              <w:rPr>
                <w:rFonts w:hint="eastAsia" w:ascii="宋体" w:cs="宋体"/>
                <w:bCs/>
              </w:rPr>
              <w:t>招标人名称：</w:t>
            </w:r>
            <w:r>
              <w:rPr>
                <w:rFonts w:hint="eastAsia" w:ascii="宋体" w:cs="宋体"/>
                <w:bCs/>
                <w:u w:val="single"/>
              </w:rPr>
              <w:t xml:space="preserve">               </w:t>
            </w:r>
          </w:p>
          <w:p>
            <w:pPr>
              <w:spacing w:line="288" w:lineRule="auto"/>
              <w:rPr>
                <w:rFonts w:ascii="宋体" w:cs="宋体"/>
                <w:bCs/>
                <w:u w:val="single"/>
              </w:rPr>
            </w:pPr>
            <w:r>
              <w:rPr>
                <w:rFonts w:hint="eastAsia" w:ascii="宋体" w:cs="宋体"/>
                <w:bCs/>
              </w:rPr>
              <w:t>投标人名称：</w:t>
            </w:r>
            <w:r>
              <w:rPr>
                <w:rFonts w:hint="eastAsia" w:ascii="宋体" w:cs="宋体"/>
                <w:bCs/>
                <w:u w:val="single"/>
              </w:rPr>
              <w:t xml:space="preserve">                </w:t>
            </w:r>
          </w:p>
          <w:p>
            <w:pPr>
              <w:spacing w:line="288" w:lineRule="auto"/>
              <w:rPr>
                <w:rFonts w:ascii="宋体" w:cs="宋体"/>
                <w:bCs/>
                <w:u w:val="single"/>
              </w:rPr>
            </w:pPr>
            <w:r>
              <w:rPr>
                <w:rFonts w:hint="eastAsia" w:ascii="宋体" w:cs="宋体"/>
                <w:bCs/>
              </w:rPr>
              <w:t xml:space="preserve">  </w:t>
            </w:r>
            <w:r>
              <w:rPr>
                <w:rFonts w:hint="eastAsia" w:ascii="宋体" w:cs="宋体"/>
                <w:bCs/>
                <w:u w:val="single"/>
              </w:rPr>
              <w:t xml:space="preserve">（项目名称）      </w:t>
            </w:r>
            <w:r>
              <w:rPr>
                <w:rFonts w:hint="eastAsia" w:ascii="宋体" w:cs="宋体"/>
                <w:bCs/>
              </w:rPr>
              <w:t>投标文件</w:t>
            </w:r>
          </w:p>
          <w:p>
            <w:pPr>
              <w:spacing w:line="288" w:lineRule="auto"/>
              <w:rPr>
                <w:rFonts w:ascii="宋体" w:cs="宋体"/>
                <w:bCs/>
              </w:rPr>
            </w:pPr>
            <w:r>
              <w:rPr>
                <w:rFonts w:hint="eastAsia" w:ascii="宋体" w:cs="宋体"/>
                <w:bCs/>
              </w:rPr>
              <w:t>在</w:t>
            </w:r>
            <w:r>
              <w:rPr>
                <w:rFonts w:hint="eastAsia" w:ascii="宋体" w:cs="宋体"/>
                <w:bCs/>
                <w:u w:val="single"/>
              </w:rPr>
              <w:t xml:space="preserve">    </w:t>
            </w:r>
            <w:r>
              <w:rPr>
                <w:rFonts w:hint="eastAsia" w:ascii="宋体" w:cs="宋体"/>
                <w:bCs/>
              </w:rPr>
              <w:t>年</w:t>
            </w:r>
            <w:r>
              <w:rPr>
                <w:rFonts w:hint="eastAsia" w:ascii="宋体" w:cs="宋体"/>
                <w:bCs/>
                <w:u w:val="single"/>
              </w:rPr>
              <w:t xml:space="preserve">  </w:t>
            </w:r>
            <w:r>
              <w:rPr>
                <w:rFonts w:hint="eastAsia" w:ascii="宋体" w:cs="宋体"/>
                <w:bCs/>
              </w:rPr>
              <w:t>月</w:t>
            </w:r>
            <w:r>
              <w:rPr>
                <w:rFonts w:hint="eastAsia" w:ascii="宋体" w:cs="宋体"/>
                <w:bCs/>
                <w:u w:val="single"/>
              </w:rPr>
              <w:t xml:space="preserve">  </w:t>
            </w:r>
            <w:r>
              <w:rPr>
                <w:rFonts w:hint="eastAsia" w:ascii="宋体" w:cs="宋体"/>
                <w:bCs/>
              </w:rPr>
              <w:t>日</w:t>
            </w:r>
            <w:r>
              <w:rPr>
                <w:rFonts w:hint="eastAsia" w:ascii="宋体" w:cs="宋体"/>
                <w:bCs/>
                <w:u w:val="single"/>
              </w:rPr>
              <w:t xml:space="preserve">   </w:t>
            </w:r>
            <w:r>
              <w:rPr>
                <w:rFonts w:hint="eastAsia" w:ascii="宋体" w:cs="宋体"/>
                <w:bCs/>
              </w:rPr>
              <w:t>时</w:t>
            </w:r>
            <w:r>
              <w:rPr>
                <w:rFonts w:hint="eastAsia" w:ascii="宋体" w:cs="宋体"/>
                <w:bCs/>
                <w:u w:val="single"/>
              </w:rPr>
              <w:t xml:space="preserve">   </w:t>
            </w:r>
            <w:r>
              <w:rPr>
                <w:rFonts w:hint="eastAsia" w:ascii="宋体" w:cs="宋体"/>
                <w:bCs/>
              </w:rPr>
              <w:t>分前不得开启</w:t>
            </w:r>
          </w:p>
        </w:tc>
      </w:tr>
      <w:tr>
        <w:tblPrEx>
          <w:tblLayout w:type="fixed"/>
          <w:tblCellMar>
            <w:top w:w="0" w:type="dxa"/>
            <w:left w:w="108" w:type="dxa"/>
            <w:bottom w:w="0" w:type="dxa"/>
            <w:right w:w="108" w:type="dxa"/>
          </w:tblCellMar>
        </w:tblPrEx>
        <w:trPr>
          <w:trHeight w:val="476" w:hRule="atLeast"/>
        </w:trPr>
        <w:tc>
          <w:tcPr>
            <w:tcW w:w="97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rPr>
            </w:pPr>
            <w:r>
              <w:rPr>
                <w:rFonts w:ascii="宋体" w:hAnsi="宋体" w:cs="宋体"/>
              </w:rPr>
              <w:t>4.2.1</w:t>
            </w:r>
          </w:p>
        </w:tc>
        <w:tc>
          <w:tcPr>
            <w:tcW w:w="129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rPr>
            </w:pPr>
            <w:r>
              <w:rPr>
                <w:rFonts w:hint="eastAsia" w:ascii="宋体" w:cs="宋体"/>
                <w:bCs/>
              </w:rPr>
              <w:t>投标文件递交、截止时间</w:t>
            </w:r>
          </w:p>
        </w:tc>
        <w:tc>
          <w:tcPr>
            <w:tcW w:w="709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cs="宋体"/>
                <w:bCs/>
              </w:rPr>
            </w:pPr>
            <w:r>
              <w:rPr>
                <w:rFonts w:hint="eastAsia" w:ascii="宋体" w:cs="宋体"/>
                <w:bCs/>
              </w:rPr>
              <w:t>截止时间：</w:t>
            </w:r>
            <w:r>
              <w:rPr>
                <w:rFonts w:hint="eastAsia" w:ascii="宋体" w:cs="宋体"/>
                <w:bCs/>
                <w:u w:val="single"/>
              </w:rPr>
              <w:t xml:space="preserve">    2017   </w:t>
            </w:r>
            <w:r>
              <w:rPr>
                <w:rFonts w:hint="eastAsia" w:ascii="宋体" w:cs="宋体"/>
                <w:bCs/>
              </w:rPr>
              <w:t>年</w:t>
            </w:r>
            <w:r>
              <w:rPr>
                <w:rFonts w:hint="eastAsia" w:ascii="宋体" w:cs="宋体"/>
                <w:bCs/>
                <w:u w:val="single"/>
              </w:rPr>
              <w:t xml:space="preserve">  </w:t>
            </w:r>
            <w:r>
              <w:rPr>
                <w:rFonts w:hint="eastAsia" w:ascii="宋体" w:cs="宋体"/>
                <w:bCs/>
                <w:u w:val="single"/>
                <w:lang w:val="en-US" w:eastAsia="zh-CN"/>
              </w:rPr>
              <w:t>3</w:t>
            </w:r>
            <w:r>
              <w:rPr>
                <w:rFonts w:hint="eastAsia" w:ascii="宋体" w:cs="宋体"/>
                <w:bCs/>
                <w:u w:val="single"/>
              </w:rPr>
              <w:t xml:space="preserve"> </w:t>
            </w:r>
            <w:r>
              <w:rPr>
                <w:rFonts w:hint="eastAsia" w:ascii="宋体" w:cs="宋体"/>
                <w:bCs/>
              </w:rPr>
              <w:t>月</w:t>
            </w:r>
            <w:r>
              <w:rPr>
                <w:rFonts w:hint="eastAsia" w:ascii="宋体" w:cs="宋体"/>
                <w:bCs/>
                <w:u w:val="single"/>
              </w:rPr>
              <w:t xml:space="preserve">  </w:t>
            </w:r>
            <w:r>
              <w:rPr>
                <w:rFonts w:hint="eastAsia" w:ascii="宋体" w:cs="宋体"/>
                <w:bCs/>
                <w:u w:val="single"/>
                <w:lang w:val="en-US" w:eastAsia="zh-CN"/>
              </w:rPr>
              <w:t>16</w:t>
            </w:r>
            <w:r>
              <w:rPr>
                <w:rFonts w:hint="eastAsia" w:ascii="宋体" w:cs="宋体"/>
                <w:bCs/>
                <w:u w:val="single"/>
              </w:rPr>
              <w:t xml:space="preserve">  </w:t>
            </w:r>
            <w:r>
              <w:rPr>
                <w:rFonts w:hint="eastAsia" w:ascii="宋体" w:cs="宋体"/>
                <w:bCs/>
              </w:rPr>
              <w:t>日</w:t>
            </w:r>
            <w:r>
              <w:rPr>
                <w:rFonts w:hint="eastAsia" w:ascii="宋体" w:cs="宋体"/>
                <w:bCs/>
                <w:u w:val="single"/>
              </w:rPr>
              <w:t xml:space="preserve"> </w:t>
            </w:r>
            <w:r>
              <w:rPr>
                <w:rFonts w:hint="eastAsia" w:ascii="宋体" w:cs="宋体"/>
                <w:bCs/>
                <w:u w:val="single"/>
                <w:lang w:val="en-US" w:eastAsia="zh-CN"/>
              </w:rPr>
              <w:t>14</w:t>
            </w:r>
            <w:r>
              <w:rPr>
                <w:rFonts w:hint="eastAsia" w:ascii="宋体" w:cs="宋体"/>
                <w:bCs/>
                <w:u w:val="single"/>
              </w:rPr>
              <w:t xml:space="preserve">  </w:t>
            </w:r>
            <w:r>
              <w:rPr>
                <w:rFonts w:hint="eastAsia" w:ascii="宋体" w:cs="宋体"/>
                <w:bCs/>
              </w:rPr>
              <w:t>时</w:t>
            </w:r>
            <w:r>
              <w:rPr>
                <w:rFonts w:hint="eastAsia" w:ascii="宋体" w:cs="宋体"/>
                <w:bCs/>
                <w:u w:val="single"/>
              </w:rPr>
              <w:t xml:space="preserve"> </w:t>
            </w:r>
            <w:r>
              <w:rPr>
                <w:rFonts w:hint="eastAsia" w:ascii="宋体" w:cs="宋体"/>
                <w:bCs/>
                <w:u w:val="single"/>
                <w:lang w:val="en-US" w:eastAsia="zh-CN"/>
              </w:rPr>
              <w:t>30</w:t>
            </w:r>
            <w:r>
              <w:rPr>
                <w:rFonts w:hint="eastAsia" w:ascii="宋体" w:cs="宋体"/>
                <w:bCs/>
                <w:u w:val="single"/>
              </w:rPr>
              <w:t xml:space="preserve"> </w:t>
            </w:r>
            <w:r>
              <w:rPr>
                <w:rFonts w:hint="eastAsia" w:ascii="宋体" w:cs="宋体"/>
                <w:bCs/>
              </w:rPr>
              <w:t>分</w:t>
            </w:r>
          </w:p>
          <w:p>
            <w:pPr>
              <w:spacing w:line="440" w:lineRule="exact"/>
              <w:rPr>
                <w:rFonts w:ascii="宋体" w:cs="宋体"/>
                <w:bCs/>
              </w:rPr>
            </w:pPr>
            <w:r>
              <w:rPr>
                <w:rFonts w:hint="eastAsia" w:ascii="宋体" w:cs="宋体"/>
                <w:bCs/>
              </w:rPr>
              <w:t>（递交时间：</w:t>
            </w:r>
            <w:r>
              <w:rPr>
                <w:rFonts w:hint="eastAsia" w:ascii="宋体" w:cs="宋体"/>
                <w:bCs/>
                <w:u w:val="single"/>
              </w:rPr>
              <w:t xml:space="preserve"> 2017  </w:t>
            </w:r>
            <w:r>
              <w:rPr>
                <w:rFonts w:hint="eastAsia" w:ascii="宋体" w:cs="宋体"/>
                <w:bCs/>
              </w:rPr>
              <w:t>年</w:t>
            </w:r>
            <w:r>
              <w:rPr>
                <w:rFonts w:hint="eastAsia" w:ascii="宋体" w:cs="宋体"/>
                <w:bCs/>
                <w:u w:val="single"/>
              </w:rPr>
              <w:t xml:space="preserve">  </w:t>
            </w:r>
            <w:r>
              <w:rPr>
                <w:rFonts w:hint="eastAsia" w:ascii="宋体" w:cs="宋体"/>
                <w:bCs/>
                <w:u w:val="single"/>
                <w:lang w:val="en-US" w:eastAsia="zh-CN"/>
              </w:rPr>
              <w:t>3</w:t>
            </w:r>
            <w:r>
              <w:rPr>
                <w:rFonts w:hint="eastAsia" w:ascii="宋体" w:cs="宋体"/>
                <w:bCs/>
                <w:u w:val="single"/>
              </w:rPr>
              <w:t xml:space="preserve"> </w:t>
            </w:r>
            <w:r>
              <w:rPr>
                <w:rFonts w:hint="eastAsia" w:ascii="宋体" w:cs="宋体"/>
                <w:bCs/>
              </w:rPr>
              <w:t>月</w:t>
            </w:r>
            <w:r>
              <w:rPr>
                <w:rFonts w:hint="eastAsia" w:ascii="宋体" w:cs="宋体"/>
                <w:bCs/>
                <w:u w:val="single"/>
              </w:rPr>
              <w:t xml:space="preserve"> </w:t>
            </w:r>
            <w:r>
              <w:rPr>
                <w:rFonts w:hint="eastAsia" w:ascii="宋体" w:cs="宋体"/>
                <w:bCs/>
                <w:u w:val="single"/>
                <w:lang w:val="en-US" w:eastAsia="zh-CN"/>
              </w:rPr>
              <w:t>16</w:t>
            </w:r>
            <w:r>
              <w:rPr>
                <w:rFonts w:hint="eastAsia" w:ascii="宋体" w:cs="宋体"/>
                <w:bCs/>
                <w:u w:val="single"/>
              </w:rPr>
              <w:t xml:space="preserve">  </w:t>
            </w:r>
            <w:r>
              <w:rPr>
                <w:rFonts w:hint="eastAsia" w:ascii="宋体" w:cs="宋体"/>
                <w:bCs/>
              </w:rPr>
              <w:t>日</w:t>
            </w:r>
            <w:r>
              <w:rPr>
                <w:rFonts w:hint="eastAsia" w:ascii="宋体" w:cs="宋体"/>
                <w:bCs/>
                <w:u w:val="single"/>
              </w:rPr>
              <w:t xml:space="preserve">  </w:t>
            </w:r>
            <w:r>
              <w:rPr>
                <w:rFonts w:hint="eastAsia" w:ascii="宋体" w:cs="宋体"/>
                <w:bCs/>
                <w:u w:val="single"/>
                <w:lang w:val="en-US" w:eastAsia="zh-CN"/>
              </w:rPr>
              <w:t>13</w:t>
            </w:r>
            <w:r>
              <w:rPr>
                <w:rFonts w:hint="eastAsia" w:ascii="宋体" w:cs="宋体"/>
                <w:bCs/>
                <w:u w:val="single"/>
              </w:rPr>
              <w:t xml:space="preserve">  </w:t>
            </w:r>
            <w:r>
              <w:rPr>
                <w:rFonts w:hint="eastAsia" w:ascii="宋体" w:cs="宋体"/>
                <w:bCs/>
              </w:rPr>
              <w:t>时</w:t>
            </w:r>
            <w:r>
              <w:rPr>
                <w:rFonts w:hint="eastAsia" w:ascii="宋体" w:cs="宋体"/>
                <w:bCs/>
                <w:lang w:val="en-US" w:eastAsia="zh-CN"/>
              </w:rPr>
              <w:t>30</w:t>
            </w:r>
            <w:r>
              <w:rPr>
                <w:rFonts w:hint="eastAsia" w:ascii="宋体" w:cs="宋体"/>
                <w:bCs/>
              </w:rPr>
              <w:t xml:space="preserve">至 </w:t>
            </w:r>
            <w:r>
              <w:rPr>
                <w:rFonts w:hint="eastAsia" w:ascii="宋体" w:cs="宋体"/>
                <w:bCs/>
                <w:lang w:val="en-US" w:eastAsia="zh-CN"/>
              </w:rPr>
              <w:t>14</w:t>
            </w:r>
            <w:r>
              <w:rPr>
                <w:rFonts w:hint="eastAsia" w:ascii="宋体" w:cs="宋体"/>
                <w:bCs/>
              </w:rPr>
              <w:t xml:space="preserve"> 时 </w:t>
            </w:r>
            <w:r>
              <w:rPr>
                <w:rFonts w:hint="eastAsia" w:ascii="宋体" w:cs="宋体"/>
                <w:bCs/>
                <w:lang w:val="en-US" w:eastAsia="zh-CN"/>
              </w:rPr>
              <w:t>3</w:t>
            </w:r>
            <w:r>
              <w:rPr>
                <w:rFonts w:hint="eastAsia" w:ascii="宋体" w:cs="宋体"/>
                <w:bCs/>
              </w:rPr>
              <w:t>0 分）。</w:t>
            </w:r>
          </w:p>
        </w:tc>
      </w:tr>
      <w:tr>
        <w:tblPrEx>
          <w:tblLayout w:type="fixed"/>
          <w:tblCellMar>
            <w:top w:w="0" w:type="dxa"/>
            <w:left w:w="108" w:type="dxa"/>
            <w:bottom w:w="0" w:type="dxa"/>
            <w:right w:w="108" w:type="dxa"/>
          </w:tblCellMar>
        </w:tblPrEx>
        <w:tc>
          <w:tcPr>
            <w:tcW w:w="97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rPr>
            </w:pPr>
            <w:r>
              <w:rPr>
                <w:rFonts w:ascii="宋体" w:hAnsi="宋体" w:cs="宋体"/>
              </w:rPr>
              <w:t>4.2.2</w:t>
            </w:r>
          </w:p>
        </w:tc>
        <w:tc>
          <w:tcPr>
            <w:tcW w:w="129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rPr>
            </w:pPr>
            <w:r>
              <w:rPr>
                <w:rFonts w:hint="eastAsia" w:ascii="宋体" w:hAnsi="宋体" w:cs="宋体"/>
              </w:rPr>
              <w:t>递交投标文件地点</w:t>
            </w:r>
          </w:p>
        </w:tc>
        <w:tc>
          <w:tcPr>
            <w:tcW w:w="7094" w:type="dxa"/>
            <w:tcBorders>
              <w:top w:val="single" w:color="auto" w:sz="4" w:space="0"/>
              <w:left w:val="single" w:color="auto" w:sz="4" w:space="0"/>
              <w:bottom w:val="single" w:color="auto" w:sz="4" w:space="0"/>
              <w:right w:val="single" w:color="auto" w:sz="4" w:space="0"/>
            </w:tcBorders>
            <w:vAlign w:val="center"/>
          </w:tcPr>
          <w:p>
            <w:pPr>
              <w:pStyle w:val="23"/>
              <w:spacing w:line="300" w:lineRule="exact"/>
              <w:rPr>
                <w:b/>
                <w:bCs/>
                <w:sz w:val="21"/>
                <w:szCs w:val="21"/>
              </w:rPr>
            </w:pPr>
            <w:r>
              <w:rPr>
                <w:rFonts w:hint="eastAsia" w:hAnsi="Times New Roman"/>
                <w:bCs/>
                <w:kern w:val="2"/>
                <w:sz w:val="21"/>
                <w:szCs w:val="21"/>
              </w:rPr>
              <w:t>阜阳市阜王路356号阜阳市集中招投标交易中心开标</w:t>
            </w:r>
            <w:r>
              <w:rPr>
                <w:rFonts w:hint="eastAsia" w:hAnsi="Times New Roman"/>
                <w:bCs/>
                <w:kern w:val="2"/>
                <w:sz w:val="21"/>
                <w:szCs w:val="21"/>
                <w:u w:val="single"/>
              </w:rPr>
              <w:t xml:space="preserve">  </w:t>
            </w:r>
            <w:r>
              <w:rPr>
                <w:rFonts w:hint="eastAsia" w:hAnsi="Times New Roman"/>
                <w:bCs/>
                <w:kern w:val="2"/>
                <w:sz w:val="21"/>
                <w:szCs w:val="21"/>
                <w:u w:val="single"/>
                <w:lang w:eastAsia="zh-CN"/>
              </w:rPr>
              <w:t>一</w:t>
            </w:r>
            <w:r>
              <w:rPr>
                <w:rFonts w:hint="eastAsia" w:hAnsi="Times New Roman"/>
                <w:bCs/>
                <w:kern w:val="2"/>
                <w:sz w:val="21"/>
                <w:szCs w:val="21"/>
                <w:u w:val="single"/>
              </w:rPr>
              <w:t xml:space="preserve"> </w:t>
            </w:r>
            <w:r>
              <w:rPr>
                <w:rFonts w:hint="eastAsia" w:hAnsi="Times New Roman"/>
                <w:bCs/>
                <w:kern w:val="2"/>
                <w:sz w:val="21"/>
                <w:szCs w:val="21"/>
              </w:rPr>
              <w:t xml:space="preserve"> 室</w:t>
            </w:r>
          </w:p>
        </w:tc>
      </w:tr>
      <w:tr>
        <w:tblPrEx>
          <w:tblLayout w:type="fixed"/>
          <w:tblCellMar>
            <w:top w:w="0" w:type="dxa"/>
            <w:left w:w="108" w:type="dxa"/>
            <w:bottom w:w="0" w:type="dxa"/>
            <w:right w:w="108" w:type="dxa"/>
          </w:tblCellMar>
        </w:tblPrEx>
        <w:tc>
          <w:tcPr>
            <w:tcW w:w="97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rPr>
            </w:pPr>
            <w:r>
              <w:rPr>
                <w:rFonts w:ascii="宋体" w:hAnsi="宋体" w:cs="宋体"/>
              </w:rPr>
              <w:t>4.2.3</w:t>
            </w:r>
          </w:p>
        </w:tc>
        <w:tc>
          <w:tcPr>
            <w:tcW w:w="129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rPr>
            </w:pPr>
            <w:r>
              <w:rPr>
                <w:rFonts w:hint="eastAsia" w:ascii="宋体" w:hAnsi="宋体" w:cs="宋体"/>
              </w:rPr>
              <w:t>是否退还投标文件</w:t>
            </w:r>
          </w:p>
        </w:tc>
        <w:tc>
          <w:tcPr>
            <w:tcW w:w="7094" w:type="dxa"/>
            <w:tcBorders>
              <w:top w:val="single" w:color="auto" w:sz="4" w:space="0"/>
              <w:left w:val="single" w:color="auto" w:sz="4" w:space="0"/>
              <w:bottom w:val="single" w:color="auto" w:sz="4" w:space="0"/>
              <w:right w:val="single" w:color="auto" w:sz="4" w:space="0"/>
            </w:tcBorders>
            <w:vAlign w:val="center"/>
          </w:tcPr>
          <w:p>
            <w:pPr>
              <w:spacing w:line="288" w:lineRule="auto"/>
              <w:rPr>
                <w:rFonts w:hAnsi="宋体"/>
              </w:rPr>
            </w:pPr>
            <w:r>
              <w:rPr>
                <w:rFonts w:hint="eastAsia" w:ascii="宋体" w:cs="宋体"/>
                <w:bCs/>
              </w:rPr>
              <w:t>■否</w:t>
            </w:r>
          </w:p>
          <w:p>
            <w:pPr>
              <w:snapToGrid w:val="0"/>
              <w:spacing w:line="300" w:lineRule="exact"/>
              <w:rPr>
                <w:rFonts w:ascii="宋体"/>
              </w:rPr>
            </w:pPr>
            <w:r>
              <w:rPr>
                <w:rFonts w:hint="eastAsia" w:ascii="宋体" w:cs="宋体"/>
              </w:rPr>
              <w:t>□</w:t>
            </w:r>
            <w:r>
              <w:rPr>
                <w:rFonts w:hint="eastAsia" w:ascii="宋体" w:hAnsi="宋体" w:cs="宋体"/>
              </w:rPr>
              <w:t>是</w:t>
            </w:r>
          </w:p>
        </w:tc>
      </w:tr>
      <w:tr>
        <w:tblPrEx>
          <w:tblLayout w:type="fixed"/>
          <w:tblCellMar>
            <w:top w:w="0" w:type="dxa"/>
            <w:left w:w="108" w:type="dxa"/>
            <w:bottom w:w="0" w:type="dxa"/>
            <w:right w:w="108" w:type="dxa"/>
          </w:tblCellMar>
        </w:tblPrEx>
        <w:trPr>
          <w:trHeight w:val="880" w:hRule="atLeast"/>
        </w:trPr>
        <w:tc>
          <w:tcPr>
            <w:tcW w:w="97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rPr>
            </w:pPr>
            <w:r>
              <w:rPr>
                <w:rFonts w:ascii="宋体" w:hAnsi="宋体" w:cs="宋体"/>
              </w:rPr>
              <w:t>5.1</w:t>
            </w:r>
          </w:p>
        </w:tc>
        <w:tc>
          <w:tcPr>
            <w:tcW w:w="129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rPr>
            </w:pPr>
            <w:r>
              <w:rPr>
                <w:rFonts w:hint="eastAsia" w:ascii="宋体" w:hAnsi="宋体" w:cs="宋体"/>
              </w:rPr>
              <w:t>开标时间和地点</w:t>
            </w:r>
          </w:p>
        </w:tc>
        <w:tc>
          <w:tcPr>
            <w:tcW w:w="7094"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cs="宋体"/>
                <w:bCs/>
              </w:rPr>
            </w:pPr>
            <w:r>
              <w:rPr>
                <w:rFonts w:hint="eastAsia" w:ascii="宋体" w:cs="宋体"/>
                <w:bCs/>
              </w:rPr>
              <w:t>开标时间：</w:t>
            </w:r>
            <w:r>
              <w:rPr>
                <w:rFonts w:hint="eastAsia" w:ascii="宋体" w:cs="宋体"/>
                <w:bCs/>
                <w:u w:val="single"/>
              </w:rPr>
              <w:t xml:space="preserve">  2017  </w:t>
            </w:r>
            <w:r>
              <w:rPr>
                <w:rFonts w:hint="eastAsia" w:ascii="宋体" w:cs="宋体"/>
                <w:bCs/>
              </w:rPr>
              <w:t>年</w:t>
            </w:r>
            <w:r>
              <w:rPr>
                <w:rFonts w:hint="eastAsia" w:ascii="宋体" w:cs="宋体"/>
                <w:bCs/>
                <w:u w:val="single"/>
              </w:rPr>
              <w:t xml:space="preserve"> </w:t>
            </w:r>
            <w:r>
              <w:rPr>
                <w:rFonts w:hint="eastAsia" w:ascii="宋体" w:cs="宋体"/>
                <w:bCs/>
                <w:u w:val="single"/>
                <w:lang w:val="en-US" w:eastAsia="zh-CN"/>
              </w:rPr>
              <w:t>3</w:t>
            </w:r>
            <w:r>
              <w:rPr>
                <w:rFonts w:hint="eastAsia" w:ascii="宋体" w:cs="宋体"/>
                <w:bCs/>
                <w:u w:val="single"/>
              </w:rPr>
              <w:t xml:space="preserve">  </w:t>
            </w:r>
            <w:r>
              <w:rPr>
                <w:rFonts w:hint="eastAsia" w:ascii="宋体" w:cs="宋体"/>
                <w:bCs/>
              </w:rPr>
              <w:t>月</w:t>
            </w:r>
            <w:r>
              <w:rPr>
                <w:rFonts w:hint="eastAsia" w:ascii="宋体" w:cs="宋体"/>
                <w:bCs/>
                <w:u w:val="single"/>
              </w:rPr>
              <w:t xml:space="preserve">  </w:t>
            </w:r>
            <w:r>
              <w:rPr>
                <w:rFonts w:hint="eastAsia" w:ascii="宋体" w:cs="宋体"/>
                <w:bCs/>
                <w:u w:val="single"/>
                <w:lang w:val="en-US" w:eastAsia="zh-CN"/>
              </w:rPr>
              <w:t>16</w:t>
            </w:r>
            <w:r>
              <w:rPr>
                <w:rFonts w:hint="eastAsia" w:ascii="宋体" w:cs="宋体"/>
                <w:bCs/>
                <w:u w:val="single"/>
              </w:rPr>
              <w:t xml:space="preserve">   </w:t>
            </w:r>
            <w:r>
              <w:rPr>
                <w:rFonts w:hint="eastAsia" w:ascii="宋体" w:cs="宋体"/>
                <w:bCs/>
              </w:rPr>
              <w:t>日</w:t>
            </w:r>
            <w:r>
              <w:rPr>
                <w:rFonts w:hint="eastAsia" w:ascii="宋体" w:cs="宋体"/>
                <w:bCs/>
                <w:u w:val="single"/>
              </w:rPr>
              <w:t xml:space="preserve">   </w:t>
            </w:r>
            <w:r>
              <w:rPr>
                <w:rFonts w:hint="eastAsia" w:ascii="宋体" w:cs="宋体"/>
                <w:bCs/>
                <w:u w:val="single"/>
                <w:lang w:val="en-US" w:eastAsia="zh-CN"/>
              </w:rPr>
              <w:t>14</w:t>
            </w:r>
            <w:r>
              <w:rPr>
                <w:rFonts w:hint="eastAsia" w:ascii="宋体" w:cs="宋体"/>
                <w:bCs/>
                <w:u w:val="single"/>
              </w:rPr>
              <w:t xml:space="preserve">   </w:t>
            </w:r>
            <w:r>
              <w:rPr>
                <w:rFonts w:hint="eastAsia" w:ascii="宋体" w:cs="宋体"/>
                <w:bCs/>
              </w:rPr>
              <w:t>时</w:t>
            </w:r>
            <w:r>
              <w:rPr>
                <w:rFonts w:hint="eastAsia" w:ascii="宋体" w:cs="宋体"/>
                <w:bCs/>
                <w:u w:val="single"/>
              </w:rPr>
              <w:t xml:space="preserve"> </w:t>
            </w:r>
            <w:r>
              <w:rPr>
                <w:rFonts w:hint="eastAsia" w:ascii="宋体" w:cs="宋体"/>
                <w:bCs/>
                <w:u w:val="single"/>
                <w:lang w:val="en-US" w:eastAsia="zh-CN"/>
              </w:rPr>
              <w:t>30</w:t>
            </w:r>
            <w:r>
              <w:rPr>
                <w:rFonts w:hint="eastAsia" w:ascii="宋体" w:cs="宋体"/>
                <w:bCs/>
                <w:u w:val="single"/>
              </w:rPr>
              <w:t xml:space="preserve"> </w:t>
            </w:r>
            <w:r>
              <w:rPr>
                <w:rFonts w:hint="eastAsia" w:ascii="宋体" w:cs="宋体"/>
                <w:bCs/>
              </w:rPr>
              <w:t>分</w:t>
            </w:r>
          </w:p>
          <w:p>
            <w:pPr>
              <w:snapToGrid w:val="0"/>
              <w:spacing w:line="300" w:lineRule="exact"/>
              <w:rPr>
                <w:rFonts w:ascii="宋体"/>
              </w:rPr>
            </w:pPr>
            <w:r>
              <w:rPr>
                <w:rFonts w:hint="eastAsia" w:ascii="宋体" w:cs="宋体"/>
                <w:bCs/>
              </w:rPr>
              <w:t xml:space="preserve">开标地点：阜阳市阜王路356号（原武警支队院内）阜阳市集中招投标交易中心开标 </w:t>
            </w:r>
            <w:r>
              <w:rPr>
                <w:rFonts w:hint="eastAsia" w:ascii="宋体" w:cs="宋体"/>
                <w:bCs/>
                <w:u w:val="single"/>
              </w:rPr>
              <w:t xml:space="preserve"> </w:t>
            </w:r>
            <w:r>
              <w:rPr>
                <w:rFonts w:hint="eastAsia" w:ascii="宋体" w:cs="宋体"/>
                <w:bCs/>
                <w:u w:val="single"/>
                <w:lang w:eastAsia="zh-CN"/>
              </w:rPr>
              <w:t>一</w:t>
            </w:r>
            <w:r>
              <w:rPr>
                <w:rFonts w:hint="eastAsia" w:ascii="宋体" w:cs="宋体"/>
                <w:bCs/>
                <w:u w:val="single"/>
              </w:rPr>
              <w:t xml:space="preserve">  </w:t>
            </w:r>
            <w:r>
              <w:rPr>
                <w:rFonts w:hint="eastAsia" w:ascii="宋体" w:cs="宋体"/>
                <w:bCs/>
              </w:rPr>
              <w:t>室。</w:t>
            </w:r>
          </w:p>
        </w:tc>
      </w:tr>
      <w:tr>
        <w:tblPrEx>
          <w:tblLayout w:type="fixed"/>
          <w:tblCellMar>
            <w:top w:w="0" w:type="dxa"/>
            <w:left w:w="108" w:type="dxa"/>
            <w:bottom w:w="0" w:type="dxa"/>
            <w:right w:w="108" w:type="dxa"/>
          </w:tblCellMar>
        </w:tblPrEx>
        <w:trPr>
          <w:trHeight w:val="880" w:hRule="atLeast"/>
        </w:trPr>
        <w:tc>
          <w:tcPr>
            <w:tcW w:w="97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rPr>
            </w:pPr>
            <w:r>
              <w:rPr>
                <w:rFonts w:hint="eastAsia" w:ascii="宋体" w:cs="宋体"/>
                <w:bCs/>
              </w:rPr>
              <w:t>5.2.1</w:t>
            </w:r>
          </w:p>
        </w:tc>
        <w:tc>
          <w:tcPr>
            <w:tcW w:w="129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rPr>
            </w:pPr>
            <w:r>
              <w:rPr>
                <w:rFonts w:hint="eastAsia" w:ascii="宋体" w:cs="宋体"/>
                <w:bCs/>
              </w:rPr>
              <w:t>开标程序</w:t>
            </w:r>
          </w:p>
        </w:tc>
        <w:tc>
          <w:tcPr>
            <w:tcW w:w="709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rPr>
                <w:rFonts w:ascii="宋体" w:cs="宋体"/>
                <w:bCs/>
              </w:rPr>
            </w:pPr>
            <w:r>
              <w:rPr>
                <w:rFonts w:hint="eastAsia" w:ascii="宋体" w:cs="宋体"/>
                <w:bCs/>
              </w:rPr>
              <w:t>密封情况检查：投标人自行检查本单位的投标文件的密封情况。</w:t>
            </w:r>
          </w:p>
          <w:p>
            <w:pPr>
              <w:spacing w:line="288" w:lineRule="auto"/>
              <w:rPr>
                <w:rFonts w:ascii="宋体" w:cs="宋体"/>
                <w:bCs/>
              </w:rPr>
            </w:pPr>
            <w:r>
              <w:rPr>
                <w:rFonts w:hint="eastAsia" w:ascii="宋体" w:cs="宋体"/>
                <w:bCs/>
              </w:rPr>
              <w:t>唱标顺序：按投标文件递交逆顺序进行。</w:t>
            </w:r>
          </w:p>
        </w:tc>
      </w:tr>
      <w:tr>
        <w:tblPrEx>
          <w:tblLayout w:type="fixed"/>
          <w:tblCellMar>
            <w:top w:w="0" w:type="dxa"/>
            <w:left w:w="108" w:type="dxa"/>
            <w:bottom w:w="0" w:type="dxa"/>
            <w:right w:w="108" w:type="dxa"/>
          </w:tblCellMar>
        </w:tblPrEx>
        <w:trPr>
          <w:trHeight w:val="1898" w:hRule="atLeast"/>
        </w:trPr>
        <w:tc>
          <w:tcPr>
            <w:tcW w:w="97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rPr>
            </w:pPr>
            <w:r>
              <w:rPr>
                <w:rFonts w:hint="eastAsia" w:ascii="宋体" w:cs="宋体"/>
                <w:bCs/>
              </w:rPr>
              <w:t>5.2.2</w:t>
            </w:r>
          </w:p>
        </w:tc>
        <w:tc>
          <w:tcPr>
            <w:tcW w:w="129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pPr>
            <w:r>
              <w:rPr>
                <w:rFonts w:hint="eastAsia" w:ascii="宋体"/>
              </w:rPr>
              <w:t>投标人参加开标会的要求</w:t>
            </w:r>
          </w:p>
          <w:p>
            <w:pPr>
              <w:jc w:val="center"/>
              <w:rPr>
                <w:rFonts w:ascii="宋体" w:hAnsi="宋体" w:cs="宋体"/>
              </w:rPr>
            </w:pPr>
          </w:p>
        </w:tc>
        <w:tc>
          <w:tcPr>
            <w:tcW w:w="709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12" w:lineRule="auto"/>
              <w:rPr>
                <w:rFonts w:ascii="宋体"/>
              </w:rPr>
            </w:pPr>
            <w:r>
              <w:rPr>
                <w:rFonts w:hint="eastAsia" w:ascii="宋体"/>
              </w:rPr>
              <w:t>按照本须知第5.1款的规定，招标人邀请所有投标人的法定代表人携带本人身份证或委托代理人携带本人身份证、授权委托书参加开标会。</w:t>
            </w:r>
          </w:p>
          <w:p>
            <w:pPr>
              <w:spacing w:line="312" w:lineRule="auto"/>
              <w:rPr>
                <w:rFonts w:ascii="宋体"/>
              </w:rPr>
            </w:pPr>
            <w:r>
              <w:rPr>
                <w:rFonts w:hint="eastAsia" w:ascii="宋体"/>
              </w:rPr>
              <w:t>授权委托书开标时须单独提供一份。</w:t>
            </w:r>
          </w:p>
          <w:p>
            <w:pPr>
              <w:spacing w:line="312" w:lineRule="auto"/>
              <w:rPr>
                <w:rFonts w:ascii="宋体" w:cs="宋体"/>
                <w:bCs/>
              </w:rPr>
            </w:pPr>
            <w:r>
              <w:rPr>
                <w:rFonts w:hint="eastAsia" w:ascii="宋体"/>
              </w:rPr>
              <w:t>以上证明、证件均为原件。</w:t>
            </w:r>
          </w:p>
        </w:tc>
      </w:tr>
      <w:tr>
        <w:tblPrEx>
          <w:tblLayout w:type="fixed"/>
          <w:tblCellMar>
            <w:top w:w="0" w:type="dxa"/>
            <w:left w:w="108" w:type="dxa"/>
            <w:bottom w:w="0" w:type="dxa"/>
            <w:right w:w="108" w:type="dxa"/>
          </w:tblCellMar>
        </w:tblPrEx>
        <w:trPr>
          <w:trHeight w:val="203" w:hRule="atLeast"/>
        </w:trPr>
        <w:tc>
          <w:tcPr>
            <w:tcW w:w="97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rPr>
            </w:pPr>
          </w:p>
          <w:p>
            <w:pPr>
              <w:snapToGrid w:val="0"/>
              <w:spacing w:line="300" w:lineRule="exact"/>
              <w:jc w:val="center"/>
              <w:rPr>
                <w:rFonts w:ascii="宋体"/>
              </w:rPr>
            </w:pPr>
            <w:r>
              <w:rPr>
                <w:rFonts w:ascii="宋体" w:hAnsi="宋体" w:cs="宋体"/>
              </w:rPr>
              <w:t>6.1.1</w:t>
            </w:r>
          </w:p>
        </w:tc>
        <w:tc>
          <w:tcPr>
            <w:tcW w:w="129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rPr>
            </w:pPr>
          </w:p>
          <w:p>
            <w:pPr>
              <w:snapToGrid w:val="0"/>
              <w:spacing w:line="300" w:lineRule="exact"/>
              <w:jc w:val="center"/>
              <w:rPr>
                <w:rFonts w:ascii="宋体"/>
              </w:rPr>
            </w:pPr>
            <w:r>
              <w:rPr>
                <w:rFonts w:hint="eastAsia" w:ascii="宋体" w:hAnsi="宋体" w:cs="宋体"/>
              </w:rPr>
              <w:t>评标委员会的组建</w:t>
            </w:r>
          </w:p>
        </w:tc>
        <w:tc>
          <w:tcPr>
            <w:tcW w:w="7094"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cs="宋体"/>
                <w:bCs/>
              </w:rPr>
            </w:pPr>
            <w:r>
              <w:rPr>
                <w:rFonts w:hint="eastAsia" w:ascii="宋体" w:cs="宋体"/>
                <w:bCs/>
              </w:rPr>
              <w:t>评标委员会构成：</w:t>
            </w:r>
            <w:r>
              <w:rPr>
                <w:rFonts w:hint="eastAsia" w:ascii="宋体" w:cs="宋体"/>
                <w:bCs/>
                <w:u w:val="single"/>
              </w:rPr>
              <w:t xml:space="preserve"> 5 </w:t>
            </w:r>
            <w:r>
              <w:rPr>
                <w:rFonts w:hint="eastAsia" w:ascii="宋体" w:cs="宋体"/>
                <w:bCs/>
              </w:rPr>
              <w:t>人及以上单数。</w:t>
            </w:r>
          </w:p>
          <w:p>
            <w:pPr>
              <w:snapToGrid w:val="0"/>
              <w:spacing w:line="300" w:lineRule="exact"/>
              <w:rPr>
                <w:rFonts w:ascii="宋体"/>
              </w:rPr>
            </w:pPr>
            <w:r>
              <w:rPr>
                <w:rFonts w:hint="eastAsia" w:ascii="宋体" w:cs="宋体"/>
                <w:bCs/>
              </w:rPr>
              <w:t>评标专家确定 方式：随机抽取。</w:t>
            </w:r>
          </w:p>
        </w:tc>
      </w:tr>
      <w:tr>
        <w:tblPrEx>
          <w:tblLayout w:type="fixed"/>
          <w:tblCellMar>
            <w:top w:w="0" w:type="dxa"/>
            <w:left w:w="108" w:type="dxa"/>
            <w:bottom w:w="0" w:type="dxa"/>
            <w:right w:w="108" w:type="dxa"/>
          </w:tblCellMar>
        </w:tblPrEx>
        <w:trPr>
          <w:trHeight w:val="532" w:hRule="atLeast"/>
        </w:trPr>
        <w:tc>
          <w:tcPr>
            <w:tcW w:w="97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rPr>
            </w:pPr>
            <w:r>
              <w:rPr>
                <w:rFonts w:ascii="宋体" w:hAnsi="宋体" w:cs="宋体"/>
              </w:rPr>
              <w:t>6.3</w:t>
            </w:r>
          </w:p>
        </w:tc>
        <w:tc>
          <w:tcPr>
            <w:tcW w:w="129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rPr>
            </w:pPr>
            <w:r>
              <w:rPr>
                <w:rFonts w:hint="eastAsia" w:ascii="宋体" w:hAnsi="宋体" w:cs="宋体"/>
              </w:rPr>
              <w:t>评标方法</w:t>
            </w:r>
          </w:p>
        </w:tc>
        <w:tc>
          <w:tcPr>
            <w:tcW w:w="709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rPr>
            </w:pPr>
            <w:r>
              <w:rPr>
                <w:rFonts w:hint="eastAsia" w:ascii="宋体"/>
              </w:rPr>
              <w:t>综合评标法</w:t>
            </w:r>
          </w:p>
        </w:tc>
      </w:tr>
      <w:tr>
        <w:tblPrEx>
          <w:tblLayout w:type="fixed"/>
          <w:tblCellMar>
            <w:top w:w="0" w:type="dxa"/>
            <w:left w:w="108" w:type="dxa"/>
            <w:bottom w:w="0" w:type="dxa"/>
            <w:right w:w="108" w:type="dxa"/>
          </w:tblCellMar>
        </w:tblPrEx>
        <w:trPr>
          <w:trHeight w:val="562" w:hRule="atLeast"/>
        </w:trPr>
        <w:tc>
          <w:tcPr>
            <w:tcW w:w="97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rPr>
            </w:pPr>
            <w:r>
              <w:rPr>
                <w:rFonts w:ascii="宋体" w:hAnsi="宋体" w:cs="宋体"/>
              </w:rPr>
              <w:t>7.1.1</w:t>
            </w:r>
          </w:p>
        </w:tc>
        <w:tc>
          <w:tcPr>
            <w:tcW w:w="129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rPr>
            </w:pPr>
            <w:r>
              <w:rPr>
                <w:rFonts w:hint="eastAsia" w:ascii="宋体" w:hAnsi="宋体" w:cs="宋体"/>
              </w:rPr>
              <w:t>是否授权评标委员会确定中标人</w:t>
            </w:r>
          </w:p>
        </w:tc>
        <w:tc>
          <w:tcPr>
            <w:tcW w:w="7094"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cs="宋体"/>
                <w:bCs/>
              </w:rPr>
            </w:pPr>
            <w:r>
              <w:rPr>
                <w:rFonts w:hint="eastAsia" w:ascii="宋体" w:cs="宋体"/>
                <w:bCs/>
              </w:rPr>
              <w:t>□是</w:t>
            </w:r>
          </w:p>
          <w:p>
            <w:pPr>
              <w:snapToGrid w:val="0"/>
              <w:spacing w:line="300" w:lineRule="exact"/>
              <w:rPr>
                <w:rFonts w:ascii="宋体"/>
              </w:rPr>
            </w:pPr>
            <w:r>
              <w:rPr>
                <w:rFonts w:hint="eastAsia" w:ascii="宋体" w:cs="宋体"/>
                <w:bCs/>
              </w:rPr>
              <w:t>■否，推荐的中标候选人数：</w:t>
            </w:r>
            <w:r>
              <w:rPr>
                <w:rFonts w:hint="eastAsia" w:ascii="宋体" w:cs="宋体"/>
                <w:bCs/>
                <w:u w:val="single"/>
              </w:rPr>
              <w:t>1-3</w:t>
            </w:r>
            <w:r>
              <w:rPr>
                <w:rFonts w:hint="eastAsia" w:ascii="宋体" w:cs="宋体"/>
                <w:bCs/>
              </w:rPr>
              <w:t xml:space="preserve">名   </w:t>
            </w:r>
          </w:p>
        </w:tc>
      </w:tr>
      <w:tr>
        <w:tblPrEx>
          <w:tblLayout w:type="fixed"/>
          <w:tblCellMar>
            <w:top w:w="0" w:type="dxa"/>
            <w:left w:w="108" w:type="dxa"/>
            <w:bottom w:w="0" w:type="dxa"/>
            <w:right w:w="108" w:type="dxa"/>
          </w:tblCellMar>
        </w:tblPrEx>
        <w:trPr>
          <w:trHeight w:val="562" w:hRule="atLeast"/>
        </w:trPr>
        <w:tc>
          <w:tcPr>
            <w:tcW w:w="97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rPr>
            </w:pPr>
            <w:r>
              <w:rPr>
                <w:rFonts w:hint="eastAsia" w:ascii="宋体" w:hAnsi="宋体" w:cs="宋体"/>
              </w:rPr>
              <w:t>7.2</w:t>
            </w:r>
          </w:p>
        </w:tc>
        <w:tc>
          <w:tcPr>
            <w:tcW w:w="129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rPr>
            </w:pPr>
            <w:r>
              <w:rPr>
                <w:rFonts w:hint="eastAsia" w:ascii="宋体" w:cs="宋体"/>
                <w:bCs/>
              </w:rPr>
              <w:t>履约担保</w:t>
            </w:r>
          </w:p>
        </w:tc>
        <w:tc>
          <w:tcPr>
            <w:tcW w:w="7094" w:type="dxa"/>
            <w:tcBorders>
              <w:top w:val="single" w:color="auto" w:sz="4" w:space="0"/>
              <w:left w:val="single" w:color="auto" w:sz="4" w:space="0"/>
              <w:bottom w:val="single" w:color="auto" w:sz="4" w:space="0"/>
              <w:right w:val="single" w:color="auto" w:sz="4" w:space="0"/>
            </w:tcBorders>
            <w:vAlign w:val="center"/>
          </w:tcPr>
          <w:p>
            <w:pPr>
              <w:spacing w:line="340" w:lineRule="exact"/>
              <w:ind w:firstLine="103" w:firstLineChars="49"/>
              <w:rPr>
                <w:rFonts w:ascii="宋体" w:cs="宋体"/>
                <w:bCs/>
              </w:rPr>
            </w:pPr>
            <w:r>
              <w:rPr>
                <w:rFonts w:hint="eastAsia" w:ascii="宋体" w:cs="宋体"/>
                <w:bCs/>
              </w:rPr>
              <w:t>担保形式：■现金</w:t>
            </w:r>
          </w:p>
          <w:p>
            <w:pPr>
              <w:spacing w:line="340" w:lineRule="exact"/>
              <w:ind w:firstLine="617" w:firstLineChars="294"/>
              <w:rPr>
                <w:rFonts w:ascii="宋体" w:cs="宋体"/>
                <w:bCs/>
              </w:rPr>
            </w:pPr>
            <w:r>
              <w:rPr>
                <w:rFonts w:hint="eastAsia" w:ascii="宋体" w:cs="宋体"/>
                <w:bCs/>
              </w:rPr>
              <w:t xml:space="preserve">     </w:t>
            </w:r>
            <w:permStart w:id="8" w:edGrp="everyone"/>
            <w:r>
              <w:rPr>
                <w:rFonts w:hint="eastAsia" w:ascii="宋体" w:cs="宋体"/>
                <w:bCs/>
              </w:rPr>
              <w:t>□</w:t>
            </w:r>
            <w:permEnd w:id="8"/>
            <w:r>
              <w:rPr>
                <w:rFonts w:hint="eastAsia" w:ascii="宋体" w:cs="宋体"/>
                <w:bCs/>
              </w:rPr>
              <w:t xml:space="preserve">保函 </w:t>
            </w:r>
          </w:p>
          <w:p>
            <w:pPr>
              <w:snapToGrid w:val="0"/>
              <w:spacing w:line="300" w:lineRule="exact"/>
              <w:rPr>
                <w:rFonts w:ascii="宋体" w:cs="宋体"/>
                <w:bCs/>
              </w:rPr>
            </w:pPr>
            <w:r>
              <w:rPr>
                <w:rFonts w:hint="eastAsia" w:ascii="宋体" w:cs="宋体"/>
                <w:bCs/>
              </w:rPr>
              <w:t>担保金额：</w:t>
            </w:r>
            <w:permStart w:id="9" w:edGrp="everyone"/>
            <w:r>
              <w:rPr>
                <w:rFonts w:hint="eastAsia" w:ascii="宋体" w:cs="宋体"/>
                <w:bCs/>
              </w:rPr>
              <w:t xml:space="preserve">  10万元             </w:t>
            </w:r>
          </w:p>
          <w:p>
            <w:pPr>
              <w:snapToGrid w:val="0"/>
              <w:spacing w:line="300" w:lineRule="exact"/>
              <w:rPr>
                <w:rFonts w:ascii="宋体" w:cs="宋体"/>
                <w:bCs/>
              </w:rPr>
            </w:pPr>
            <w:r>
              <w:rPr>
                <w:rFonts w:hint="eastAsia" w:ascii="宋体" w:cs="宋体"/>
                <w:bCs/>
              </w:rPr>
              <w:t>中标人在签订合同之前将以上保证金转入招标人指定的账户，否则，招标人将取消其中标资格</w:t>
            </w:r>
            <w:permEnd w:id="9"/>
          </w:p>
        </w:tc>
      </w:tr>
      <w:tr>
        <w:tblPrEx>
          <w:tblLayout w:type="fixed"/>
          <w:tblCellMar>
            <w:top w:w="0" w:type="dxa"/>
            <w:left w:w="108" w:type="dxa"/>
            <w:bottom w:w="0" w:type="dxa"/>
            <w:right w:w="108" w:type="dxa"/>
          </w:tblCellMar>
        </w:tblPrEx>
        <w:trPr>
          <w:trHeight w:val="562" w:hRule="atLeast"/>
        </w:trPr>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exact"/>
              <w:jc w:val="center"/>
              <w:rPr>
                <w:rFonts w:ascii="宋体" w:hAnsi="宋体" w:cs="宋体"/>
              </w:rPr>
            </w:pPr>
            <w:r>
              <w:rPr>
                <w:rFonts w:hint="eastAsia" w:ascii="宋体" w:hAnsi="宋体" w:cs="宋体"/>
              </w:rPr>
              <w:t>7.3</w:t>
            </w:r>
          </w:p>
        </w:tc>
        <w:tc>
          <w:tcPr>
            <w:tcW w:w="129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exact"/>
              <w:jc w:val="center"/>
              <w:rPr>
                <w:rFonts w:ascii="宋体" w:cs="宋体"/>
                <w:bCs/>
              </w:rPr>
            </w:pPr>
            <w:r>
              <w:rPr>
                <w:rFonts w:hint="eastAsia" w:ascii="宋体" w:cs="宋体"/>
                <w:bCs/>
              </w:rPr>
              <w:t>中标候选人公示媒介</w:t>
            </w:r>
          </w:p>
        </w:tc>
        <w:tc>
          <w:tcPr>
            <w:tcW w:w="709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40" w:lineRule="exact"/>
              <w:rPr>
                <w:rFonts w:ascii="宋体" w:cs="宋体"/>
              </w:rPr>
            </w:pPr>
            <w:r>
              <w:rPr>
                <w:rFonts w:hint="eastAsia" w:ascii="宋体" w:cs="宋体"/>
                <w:bCs/>
              </w:rPr>
              <w:t>阜阳市公共资源（集中招投标）交易中心门户网站（http://jyzx.fy.gov.cn）公布</w:t>
            </w:r>
          </w:p>
        </w:tc>
      </w:tr>
      <w:tr>
        <w:tblPrEx>
          <w:tblLayout w:type="fixed"/>
          <w:tblCellMar>
            <w:top w:w="0" w:type="dxa"/>
            <w:left w:w="108" w:type="dxa"/>
            <w:bottom w:w="0" w:type="dxa"/>
            <w:right w:w="108" w:type="dxa"/>
          </w:tblCellMar>
        </w:tblPrEx>
        <w:trPr>
          <w:trHeight w:val="562" w:hRule="atLeast"/>
        </w:trPr>
        <w:tc>
          <w:tcPr>
            <w:tcW w:w="97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rPr>
            </w:pPr>
            <w:r>
              <w:rPr>
                <w:rFonts w:hint="eastAsia" w:ascii="宋体" w:cs="宋体"/>
                <w:bCs/>
              </w:rPr>
              <w:t>7.4</w:t>
            </w:r>
          </w:p>
        </w:tc>
        <w:tc>
          <w:tcPr>
            <w:tcW w:w="129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cs="宋体"/>
              </w:rPr>
            </w:pPr>
            <w:r>
              <w:rPr>
                <w:rFonts w:hint="eastAsia" w:ascii="宋体" w:cs="宋体"/>
                <w:bCs/>
              </w:rPr>
              <w:t>费用承担</w:t>
            </w:r>
          </w:p>
        </w:tc>
        <w:tc>
          <w:tcPr>
            <w:tcW w:w="709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12" w:lineRule="auto"/>
              <w:rPr>
                <w:rFonts w:ascii="宋体" w:hAnsi="宋体" w:cs="宋体"/>
                <w:bCs/>
              </w:rPr>
            </w:pPr>
            <w:r>
              <w:rPr>
                <w:rFonts w:hint="eastAsia" w:ascii="宋体" w:cs="宋体"/>
                <w:bCs/>
              </w:rPr>
              <w:t>1、</w:t>
            </w:r>
            <w:r>
              <w:rPr>
                <w:rFonts w:hint="eastAsia" w:ascii="宋体" w:hAnsi="宋体" w:cs="宋体"/>
                <w:bCs/>
              </w:rPr>
              <w:t>招标代理服务费：以中标价(承销费总额)为基数，按照阜阳市政府〔2013〕54号和阜阳交通能源投资有限公司相关规定收取。</w:t>
            </w:r>
          </w:p>
          <w:p>
            <w:pPr>
              <w:spacing w:line="312" w:lineRule="auto"/>
              <w:rPr>
                <w:rFonts w:ascii="宋体" w:cs="宋体"/>
                <w:bCs/>
              </w:rPr>
            </w:pPr>
            <w:r>
              <w:rPr>
                <w:rFonts w:hint="eastAsia" w:ascii="宋体" w:hAnsi="宋体" w:cs="宋体"/>
                <w:bCs/>
              </w:rPr>
              <w:t>2、建设工程交易服务费：按有关规定收取。</w:t>
            </w:r>
          </w:p>
          <w:p>
            <w:pPr>
              <w:spacing w:line="312" w:lineRule="auto"/>
              <w:rPr>
                <w:rFonts w:ascii="宋体" w:cs="宋体"/>
                <w:bCs/>
              </w:rPr>
            </w:pPr>
            <w:r>
              <w:rPr>
                <w:rFonts w:hint="eastAsia" w:ascii="宋体" w:cs="宋体"/>
                <w:bCs/>
              </w:rPr>
              <w:t>以上费用不单独列出，投标人自行考虑。中标人在领取中标通知书前支付以上费用。</w:t>
            </w:r>
          </w:p>
        </w:tc>
      </w:tr>
      <w:tr>
        <w:tblPrEx>
          <w:tblLayout w:type="fixed"/>
          <w:tblCellMar>
            <w:top w:w="0" w:type="dxa"/>
            <w:left w:w="108" w:type="dxa"/>
            <w:bottom w:w="0" w:type="dxa"/>
            <w:right w:w="108" w:type="dxa"/>
          </w:tblCellMar>
        </w:tblPrEx>
        <w:trPr>
          <w:trHeight w:val="562" w:hRule="atLeast"/>
        </w:trPr>
        <w:tc>
          <w:tcPr>
            <w:tcW w:w="97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cs="宋体"/>
                <w:bCs/>
              </w:rPr>
            </w:pPr>
            <w:r>
              <w:rPr>
                <w:rFonts w:hint="eastAsia" w:ascii="宋体" w:cs="宋体"/>
                <w:bCs/>
              </w:rPr>
              <w:t>8</w:t>
            </w:r>
          </w:p>
        </w:tc>
        <w:tc>
          <w:tcPr>
            <w:tcW w:w="129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cs="宋体"/>
                <w:bCs/>
              </w:rPr>
            </w:pPr>
            <w:r>
              <w:rPr>
                <w:rFonts w:hint="eastAsia" w:ascii="宋体" w:cs="宋体"/>
                <w:bCs/>
              </w:rPr>
              <w:t>报价组成</w:t>
            </w:r>
          </w:p>
        </w:tc>
        <w:tc>
          <w:tcPr>
            <w:tcW w:w="709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12" w:lineRule="auto"/>
              <w:rPr>
                <w:rFonts w:ascii="宋体" w:cs="宋体"/>
                <w:bCs/>
              </w:rPr>
            </w:pPr>
            <w:r>
              <w:rPr>
                <w:rFonts w:hint="eastAsia" w:ascii="宋体" w:cs="宋体"/>
                <w:b/>
              </w:rPr>
              <w:t>承销费费率报价（</w:t>
            </w:r>
            <w:r>
              <w:rPr>
                <w:rFonts w:hint="eastAsia" w:ascii="宋体" w:cs="宋体"/>
                <w:spacing w:val="20"/>
                <w:kern w:val="0"/>
              </w:rPr>
              <w:t>承销费等于</w:t>
            </w:r>
            <w:r>
              <w:rPr>
                <w:rFonts w:hint="eastAsia" w:ascii="宋体"/>
              </w:rPr>
              <w:t>成功发行债券总额度乘以中标承销费费率）</w:t>
            </w:r>
            <w:r>
              <w:rPr>
                <w:rFonts w:hint="eastAsia" w:ascii="宋体" w:cs="宋体"/>
                <w:b/>
              </w:rPr>
              <w:t>包括但不限于公司债券项目申报及注册、</w:t>
            </w:r>
            <w:r>
              <w:rPr>
                <w:rFonts w:hint="eastAsia" w:ascii="宋体" w:hAnsi="宋体" w:cs="宋体"/>
              </w:rPr>
              <w:t>公司债券发行及发行后服务、债券挂牌推荐等所发生的材料费、人工费、差旅费以及国家规定的税费等一切费用。（不含审计、评级、律师费）</w:t>
            </w:r>
          </w:p>
        </w:tc>
      </w:tr>
      <w:tr>
        <w:tblPrEx>
          <w:tblLayout w:type="fixed"/>
          <w:tblCellMar>
            <w:top w:w="0" w:type="dxa"/>
            <w:left w:w="108" w:type="dxa"/>
            <w:bottom w:w="0" w:type="dxa"/>
            <w:right w:w="108" w:type="dxa"/>
          </w:tblCellMar>
        </w:tblPrEx>
        <w:trPr>
          <w:trHeight w:val="562" w:hRule="atLeast"/>
        </w:trPr>
        <w:tc>
          <w:tcPr>
            <w:tcW w:w="97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cs="宋体"/>
                <w:bCs/>
              </w:rPr>
            </w:pPr>
            <w:r>
              <w:rPr>
                <w:rFonts w:hint="eastAsia" w:ascii="宋体" w:cs="宋体"/>
                <w:bCs/>
              </w:rPr>
              <w:t>9</w:t>
            </w:r>
          </w:p>
        </w:tc>
        <w:tc>
          <w:tcPr>
            <w:tcW w:w="129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cs="宋体"/>
                <w:bCs/>
              </w:rPr>
            </w:pPr>
            <w:r>
              <w:rPr>
                <w:rFonts w:hint="eastAsia" w:ascii="宋体" w:cs="宋体"/>
                <w:bCs/>
              </w:rPr>
              <w:t>其他说明</w:t>
            </w:r>
          </w:p>
        </w:tc>
        <w:tc>
          <w:tcPr>
            <w:tcW w:w="709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12" w:lineRule="auto"/>
              <w:rPr>
                <w:rFonts w:ascii="宋体" w:cs="宋体"/>
                <w:bCs/>
              </w:rPr>
            </w:pPr>
            <w:r>
              <w:rPr>
                <w:rFonts w:hint="eastAsia" w:ascii="宋体" w:cs="宋体"/>
                <w:bCs/>
              </w:rPr>
              <w:t>中标单位如不能履行承诺，或在承诺期内，本次公司债券注册申报材料不予受理或被退回次数合计超过三次的，招标人有权没收履约保证金、取消主承销商资格、终止本次合作。</w:t>
            </w:r>
          </w:p>
        </w:tc>
      </w:tr>
      <w:tr>
        <w:tblPrEx>
          <w:tblLayout w:type="fixed"/>
          <w:tblCellMar>
            <w:top w:w="0" w:type="dxa"/>
            <w:left w:w="108" w:type="dxa"/>
            <w:bottom w:w="0" w:type="dxa"/>
            <w:right w:w="108" w:type="dxa"/>
          </w:tblCellMar>
        </w:tblPrEx>
        <w:trPr>
          <w:trHeight w:val="631" w:hRule="atLeast"/>
        </w:trPr>
        <w:tc>
          <w:tcPr>
            <w:tcW w:w="97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cs="宋体"/>
                <w:bCs/>
              </w:rPr>
            </w:pPr>
            <w:r>
              <w:rPr>
                <w:rFonts w:hint="eastAsia" w:ascii="宋体" w:cs="宋体"/>
                <w:bCs/>
              </w:rPr>
              <w:t>10</w:t>
            </w:r>
          </w:p>
        </w:tc>
        <w:tc>
          <w:tcPr>
            <w:tcW w:w="129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cs="宋体"/>
                <w:bCs/>
              </w:rPr>
            </w:pPr>
            <w:r>
              <w:rPr>
                <w:rFonts w:hint="eastAsia" w:ascii="宋体" w:cs="宋体"/>
                <w:bCs/>
              </w:rPr>
              <w:t>质疑和投诉的处理</w:t>
            </w:r>
          </w:p>
        </w:tc>
        <w:tc>
          <w:tcPr>
            <w:tcW w:w="709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12" w:lineRule="auto"/>
              <w:rPr>
                <w:rFonts w:ascii="宋体" w:cs="宋体"/>
                <w:bCs/>
              </w:rPr>
            </w:pPr>
            <w:r>
              <w:rPr>
                <w:rFonts w:hint="eastAsia" w:ascii="宋体" w:cs="宋体"/>
                <w:bCs/>
              </w:rPr>
              <w:t>该项目非集中采购项目，质疑和投诉由招标人负责处理</w:t>
            </w:r>
          </w:p>
        </w:tc>
      </w:tr>
    </w:tbl>
    <w:p>
      <w:pPr>
        <w:jc w:val="center"/>
        <w:rPr>
          <w:rFonts w:ascii="宋体" w:hAnsi="宋体"/>
          <w:b/>
          <w:bCs/>
        </w:rPr>
      </w:pPr>
      <w:r>
        <w:rPr>
          <w:rFonts w:hint="eastAsia" w:ascii="黑体" w:eastAsia="黑体"/>
          <w:b/>
          <w:sz w:val="32"/>
          <w:szCs w:val="32"/>
        </w:rPr>
        <w:t>投标人须知</w:t>
      </w:r>
    </w:p>
    <w:p>
      <w:pPr>
        <w:snapToGrid w:val="0"/>
        <w:spacing w:line="360" w:lineRule="exact"/>
        <w:ind w:firstLine="422" w:firstLineChars="200"/>
        <w:rPr>
          <w:rFonts w:ascii="宋体" w:hAnsi="宋体" w:cs="仿宋_GB2312"/>
          <w:b/>
          <w:bCs/>
        </w:rPr>
      </w:pPr>
      <w:bookmarkStart w:id="16" w:name="_Toc5035"/>
      <w:bookmarkStart w:id="17" w:name="_Toc428631540"/>
      <w:bookmarkStart w:id="18" w:name="_Toc428613590"/>
      <w:bookmarkStart w:id="19" w:name="_Toc966"/>
      <w:r>
        <w:rPr>
          <w:rFonts w:hint="eastAsia" w:ascii="宋体" w:hAnsi="宋体" w:cs="仿宋_GB2312"/>
          <w:b/>
          <w:bCs/>
        </w:rPr>
        <w:t>一、总则</w:t>
      </w:r>
      <w:bookmarkEnd w:id="16"/>
      <w:bookmarkEnd w:id="17"/>
      <w:bookmarkEnd w:id="18"/>
      <w:bookmarkEnd w:id="19"/>
    </w:p>
    <w:p>
      <w:pPr>
        <w:snapToGrid w:val="0"/>
        <w:spacing w:line="360" w:lineRule="exact"/>
        <w:ind w:firstLine="422" w:firstLineChars="200"/>
        <w:rPr>
          <w:rFonts w:ascii="宋体" w:hAnsi="宋体" w:cs="仿宋_GB2312"/>
          <w:b/>
          <w:bCs/>
        </w:rPr>
      </w:pPr>
      <w:bookmarkStart w:id="20" w:name="_Toc428613591"/>
      <w:bookmarkStart w:id="21" w:name="_Toc428631541"/>
      <w:bookmarkStart w:id="22" w:name="_Toc19376"/>
      <w:bookmarkStart w:id="23" w:name="_Toc11638"/>
      <w:r>
        <w:rPr>
          <w:rFonts w:ascii="宋体" w:hAnsi="宋体" w:cs="仿宋_GB2312"/>
          <w:b/>
          <w:bCs/>
        </w:rPr>
        <w:t>1.1</w:t>
      </w:r>
      <w:r>
        <w:rPr>
          <w:rFonts w:hint="eastAsia" w:ascii="宋体" w:hAnsi="宋体" w:cs="仿宋_GB2312"/>
          <w:b/>
          <w:bCs/>
        </w:rPr>
        <w:t>概述</w:t>
      </w:r>
      <w:bookmarkEnd w:id="20"/>
      <w:bookmarkEnd w:id="21"/>
      <w:bookmarkEnd w:id="22"/>
      <w:bookmarkEnd w:id="23"/>
    </w:p>
    <w:p>
      <w:pPr>
        <w:spacing w:line="400" w:lineRule="exact"/>
        <w:ind w:firstLine="420" w:firstLineChars="200"/>
        <w:outlineLvl w:val="3"/>
        <w:rPr>
          <w:rFonts w:ascii="宋体" w:cs="宋体"/>
          <w:bCs/>
        </w:rPr>
      </w:pPr>
      <w:r>
        <w:rPr>
          <w:rFonts w:hint="eastAsia" w:ascii="宋体" w:cs="宋体"/>
          <w:bCs/>
        </w:rPr>
        <w:t>1.1.1根据《中华人民共和国招标投标法》等有关法律、法规和规章的规定，本招标项目已具备招标条件，现对本项目的债券主承销商进行招标。</w:t>
      </w:r>
    </w:p>
    <w:p>
      <w:pPr>
        <w:spacing w:line="400" w:lineRule="exact"/>
        <w:ind w:firstLine="420" w:firstLineChars="200"/>
        <w:outlineLvl w:val="3"/>
        <w:rPr>
          <w:rFonts w:ascii="宋体" w:cs="宋体"/>
          <w:bCs/>
        </w:rPr>
      </w:pPr>
      <w:r>
        <w:rPr>
          <w:rFonts w:hint="eastAsia" w:ascii="宋体" w:cs="宋体"/>
          <w:bCs/>
        </w:rPr>
        <w:t>1.1.2 本招标项目名称：见投标人须知前附表</w:t>
      </w:r>
    </w:p>
    <w:p>
      <w:pPr>
        <w:spacing w:line="400" w:lineRule="exact"/>
        <w:ind w:firstLine="420" w:firstLineChars="200"/>
        <w:outlineLvl w:val="3"/>
        <w:rPr>
          <w:rFonts w:ascii="宋体" w:cs="宋体"/>
          <w:bCs/>
        </w:rPr>
      </w:pPr>
      <w:r>
        <w:rPr>
          <w:rFonts w:hint="eastAsia" w:ascii="宋体" w:cs="宋体"/>
          <w:bCs/>
        </w:rPr>
        <w:t>1.1.3 本招标项目招标人：见投标人须知前附表。</w:t>
      </w:r>
    </w:p>
    <w:p>
      <w:pPr>
        <w:spacing w:line="400" w:lineRule="exact"/>
        <w:ind w:firstLine="420" w:firstLineChars="200"/>
        <w:outlineLvl w:val="3"/>
        <w:rPr>
          <w:rFonts w:ascii="宋体" w:cs="宋体"/>
          <w:bCs/>
        </w:rPr>
      </w:pPr>
      <w:r>
        <w:rPr>
          <w:rFonts w:hint="eastAsia" w:ascii="宋体" w:cs="宋体"/>
          <w:bCs/>
        </w:rPr>
        <w:t>1.1.4 本标段招标代理机构：见投标人须知前附表。</w:t>
      </w:r>
    </w:p>
    <w:p>
      <w:pPr>
        <w:spacing w:line="400" w:lineRule="exact"/>
        <w:ind w:firstLine="420" w:firstLineChars="200"/>
        <w:outlineLvl w:val="3"/>
        <w:rPr>
          <w:rFonts w:ascii="宋体" w:cs="宋体"/>
          <w:bCs/>
        </w:rPr>
      </w:pPr>
      <w:r>
        <w:rPr>
          <w:rFonts w:hint="eastAsia" w:ascii="宋体" w:cs="宋体"/>
          <w:bCs/>
        </w:rPr>
        <w:t>1.1.5 项目概况：招标项目的规模等见投标人须知前附表。</w:t>
      </w:r>
    </w:p>
    <w:p>
      <w:pPr>
        <w:snapToGrid w:val="0"/>
        <w:spacing w:line="360" w:lineRule="exact"/>
        <w:ind w:firstLine="422" w:firstLineChars="200"/>
        <w:rPr>
          <w:rFonts w:ascii="宋体" w:hAnsi="宋体" w:cs="仿宋_GB2312"/>
          <w:b/>
          <w:bCs/>
        </w:rPr>
      </w:pPr>
      <w:bookmarkStart w:id="24" w:name="_Toc428631542"/>
      <w:bookmarkStart w:id="25" w:name="_Toc22912"/>
      <w:bookmarkStart w:id="26" w:name="_Toc10699"/>
      <w:bookmarkStart w:id="27" w:name="_Toc428613592"/>
      <w:r>
        <w:rPr>
          <w:rFonts w:ascii="宋体" w:hAnsi="宋体" w:cs="仿宋_GB2312"/>
          <w:b/>
          <w:bCs/>
        </w:rPr>
        <w:t>1.2</w:t>
      </w:r>
      <w:r>
        <w:rPr>
          <w:rFonts w:hint="eastAsia" w:ascii="宋体" w:hAnsi="宋体" w:cs="仿宋_GB2312"/>
          <w:b/>
          <w:bCs/>
        </w:rPr>
        <w:t>投标人资格要求</w:t>
      </w:r>
      <w:bookmarkEnd w:id="24"/>
      <w:bookmarkEnd w:id="25"/>
      <w:bookmarkEnd w:id="26"/>
      <w:bookmarkEnd w:id="27"/>
    </w:p>
    <w:p>
      <w:pPr>
        <w:spacing w:line="400" w:lineRule="exact"/>
        <w:ind w:firstLine="420" w:firstLineChars="200"/>
        <w:outlineLvl w:val="3"/>
        <w:rPr>
          <w:rFonts w:ascii="宋体" w:cs="宋体"/>
          <w:bCs/>
        </w:rPr>
      </w:pPr>
      <w:r>
        <w:rPr>
          <w:rFonts w:hint="eastAsia" w:ascii="宋体" w:cs="宋体"/>
          <w:bCs/>
        </w:rPr>
        <w:t>（1）资格条件：见投标人须知前附表；</w:t>
      </w:r>
    </w:p>
    <w:p>
      <w:pPr>
        <w:spacing w:line="400" w:lineRule="exact"/>
        <w:ind w:firstLine="420" w:firstLineChars="200"/>
        <w:outlineLvl w:val="3"/>
        <w:rPr>
          <w:rFonts w:ascii="宋体" w:cs="宋体"/>
          <w:bCs/>
        </w:rPr>
      </w:pPr>
      <w:r>
        <w:rPr>
          <w:rFonts w:hint="eastAsia" w:ascii="宋体" w:cs="宋体"/>
          <w:bCs/>
        </w:rPr>
        <w:t>（2）其他要求：见投标人须知前附表；</w:t>
      </w:r>
    </w:p>
    <w:p>
      <w:pPr>
        <w:spacing w:line="400" w:lineRule="exact"/>
        <w:ind w:firstLine="420" w:firstLineChars="200"/>
        <w:outlineLvl w:val="3"/>
        <w:rPr>
          <w:rFonts w:ascii="宋体" w:cs="宋体"/>
          <w:bCs/>
        </w:rPr>
      </w:pPr>
      <w:r>
        <w:rPr>
          <w:rFonts w:hint="eastAsia" w:ascii="宋体" w:cs="宋体"/>
          <w:bCs/>
        </w:rPr>
        <w:t>（3）资格审查方式：采用资格后审。</w:t>
      </w:r>
    </w:p>
    <w:p>
      <w:pPr>
        <w:snapToGrid w:val="0"/>
        <w:spacing w:line="360" w:lineRule="exact"/>
        <w:ind w:firstLine="422" w:firstLineChars="200"/>
        <w:rPr>
          <w:rFonts w:ascii="宋体" w:hAnsi="宋体" w:cs="仿宋_GB2312"/>
          <w:b/>
          <w:bCs/>
        </w:rPr>
      </w:pPr>
      <w:bookmarkStart w:id="28" w:name="_Toc3236"/>
      <w:bookmarkStart w:id="29" w:name="_Toc428631543"/>
      <w:bookmarkStart w:id="30" w:name="_Toc25164"/>
      <w:bookmarkStart w:id="31" w:name="_Toc428613593"/>
      <w:r>
        <w:rPr>
          <w:rFonts w:ascii="宋体" w:hAnsi="宋体" w:cs="仿宋_GB2312"/>
          <w:b/>
          <w:bCs/>
        </w:rPr>
        <w:t>1.3</w:t>
      </w:r>
      <w:r>
        <w:rPr>
          <w:rFonts w:hint="eastAsia" w:ascii="宋体" w:hAnsi="宋体" w:cs="仿宋_GB2312"/>
          <w:b/>
          <w:bCs/>
        </w:rPr>
        <w:t>投标人不得存在下列情形之一：</w:t>
      </w:r>
      <w:bookmarkEnd w:id="28"/>
      <w:bookmarkEnd w:id="29"/>
      <w:bookmarkEnd w:id="30"/>
      <w:bookmarkEnd w:id="31"/>
    </w:p>
    <w:p>
      <w:pPr>
        <w:spacing w:line="400" w:lineRule="exact"/>
        <w:ind w:firstLine="420" w:firstLineChars="200"/>
        <w:outlineLvl w:val="3"/>
        <w:rPr>
          <w:rFonts w:ascii="宋体" w:cs="宋体"/>
          <w:bCs/>
        </w:rPr>
      </w:pPr>
      <w:r>
        <w:rPr>
          <w:rFonts w:hint="eastAsia" w:ascii="宋体" w:hAnsi="宋体" w:cs="仿宋_GB2312"/>
        </w:rPr>
        <w:t>（</w:t>
      </w:r>
      <w:r>
        <w:rPr>
          <w:rFonts w:hint="eastAsia" w:ascii="宋体" w:cs="宋体"/>
          <w:bCs/>
        </w:rPr>
        <w:t xml:space="preserve">1）为招标人不具有独立法人资格的附属机构（单位）； </w:t>
      </w:r>
    </w:p>
    <w:p>
      <w:pPr>
        <w:spacing w:line="400" w:lineRule="exact"/>
        <w:ind w:firstLine="420" w:firstLineChars="200"/>
        <w:outlineLvl w:val="3"/>
        <w:rPr>
          <w:rFonts w:ascii="宋体" w:cs="宋体"/>
          <w:bCs/>
        </w:rPr>
      </w:pPr>
      <w:r>
        <w:rPr>
          <w:rFonts w:hint="eastAsia" w:ascii="宋体" w:cs="宋体"/>
          <w:bCs/>
        </w:rPr>
        <w:t>（2）为本标段提供招标代理服务的；</w:t>
      </w:r>
    </w:p>
    <w:p>
      <w:pPr>
        <w:spacing w:line="400" w:lineRule="exact"/>
        <w:ind w:firstLine="420" w:firstLineChars="200"/>
        <w:outlineLvl w:val="3"/>
        <w:rPr>
          <w:rFonts w:ascii="宋体" w:cs="宋体"/>
          <w:bCs/>
        </w:rPr>
      </w:pPr>
      <w:r>
        <w:rPr>
          <w:rFonts w:hint="eastAsia" w:ascii="宋体" w:cs="宋体"/>
          <w:bCs/>
        </w:rPr>
        <w:t xml:space="preserve">（3）被责令停业的； </w:t>
      </w:r>
    </w:p>
    <w:p>
      <w:pPr>
        <w:spacing w:line="400" w:lineRule="exact"/>
        <w:ind w:firstLine="420" w:firstLineChars="200"/>
        <w:outlineLvl w:val="3"/>
        <w:rPr>
          <w:rFonts w:ascii="宋体" w:cs="宋体"/>
          <w:bCs/>
        </w:rPr>
      </w:pPr>
      <w:r>
        <w:rPr>
          <w:rFonts w:hint="eastAsia" w:ascii="宋体" w:cs="宋体"/>
          <w:bCs/>
        </w:rPr>
        <w:t xml:space="preserve">（4）被暂停或取消投标资格的； </w:t>
      </w:r>
    </w:p>
    <w:p>
      <w:pPr>
        <w:spacing w:line="400" w:lineRule="exact"/>
        <w:ind w:firstLine="420" w:firstLineChars="200"/>
        <w:outlineLvl w:val="3"/>
        <w:rPr>
          <w:rFonts w:ascii="宋体" w:cs="宋体"/>
          <w:bCs/>
        </w:rPr>
      </w:pPr>
      <w:r>
        <w:rPr>
          <w:rFonts w:hint="eastAsia" w:ascii="宋体" w:cs="宋体"/>
          <w:bCs/>
        </w:rPr>
        <w:t>（5）财产被接管或冻结的；</w:t>
      </w:r>
    </w:p>
    <w:p>
      <w:pPr>
        <w:spacing w:line="400" w:lineRule="exact"/>
        <w:ind w:firstLine="420" w:firstLineChars="200"/>
        <w:outlineLvl w:val="3"/>
        <w:rPr>
          <w:rFonts w:ascii="宋体" w:cs="宋体"/>
          <w:bCs/>
        </w:rPr>
      </w:pPr>
      <w:r>
        <w:rPr>
          <w:rFonts w:hint="eastAsia" w:ascii="宋体" w:cs="宋体"/>
          <w:bCs/>
        </w:rPr>
        <w:t>（6）在最近三年内有骗取中标或严重违约的。</w:t>
      </w:r>
    </w:p>
    <w:p>
      <w:pPr>
        <w:spacing w:line="400" w:lineRule="exact"/>
        <w:ind w:firstLine="420" w:firstLineChars="200"/>
        <w:outlineLvl w:val="3"/>
        <w:rPr>
          <w:rFonts w:ascii="宋体" w:cs="宋体"/>
          <w:bCs/>
        </w:rPr>
      </w:pPr>
      <w:r>
        <w:rPr>
          <w:rFonts w:hint="eastAsia" w:ascii="宋体" w:cs="宋体"/>
          <w:bCs/>
        </w:rPr>
        <w:t>（7）被同一家公司控股且有参股关系的，参加同一标段或者未划分标段的同一招标项目投标的。</w:t>
      </w:r>
    </w:p>
    <w:p>
      <w:pPr>
        <w:spacing w:line="400" w:lineRule="exact"/>
        <w:ind w:firstLine="420" w:firstLineChars="200"/>
        <w:outlineLvl w:val="3"/>
        <w:rPr>
          <w:rFonts w:ascii="宋体" w:cs="宋体"/>
          <w:bCs/>
        </w:rPr>
      </w:pPr>
      <w:r>
        <w:rPr>
          <w:rFonts w:hint="eastAsia" w:ascii="宋体" w:cs="宋体"/>
          <w:bCs/>
        </w:rPr>
        <w:t>投标有存在以上情况之一的，资格审查不予通过，其投标资格被取消，不再进行下一步评审，不得推荐为中标候选人。</w:t>
      </w:r>
    </w:p>
    <w:p>
      <w:pPr>
        <w:snapToGrid w:val="0"/>
        <w:spacing w:line="360" w:lineRule="exact"/>
        <w:ind w:firstLine="422" w:firstLineChars="200"/>
        <w:rPr>
          <w:rFonts w:ascii="宋体" w:hAnsi="宋体"/>
          <w:b/>
          <w:bCs/>
        </w:rPr>
      </w:pPr>
      <w:bookmarkStart w:id="32" w:name="_Toc152045542"/>
      <w:bookmarkStart w:id="33" w:name="_Toc361338249"/>
      <w:bookmarkStart w:id="34" w:name="_Toc152042318"/>
      <w:bookmarkStart w:id="35" w:name="_Toc144974510"/>
      <w:r>
        <w:rPr>
          <w:rFonts w:ascii="宋体" w:hAnsi="宋体" w:cs="仿宋_GB2312"/>
          <w:b/>
          <w:bCs/>
        </w:rPr>
        <w:t xml:space="preserve">2. </w:t>
      </w:r>
      <w:r>
        <w:rPr>
          <w:rFonts w:hint="eastAsia" w:ascii="宋体" w:hAnsi="宋体" w:cs="仿宋_GB2312"/>
          <w:b/>
          <w:bCs/>
        </w:rPr>
        <w:t>招标文件</w:t>
      </w:r>
      <w:bookmarkEnd w:id="32"/>
      <w:bookmarkEnd w:id="33"/>
      <w:bookmarkEnd w:id="34"/>
      <w:bookmarkEnd w:id="35"/>
    </w:p>
    <w:p>
      <w:pPr>
        <w:snapToGrid w:val="0"/>
        <w:spacing w:line="360" w:lineRule="exact"/>
        <w:ind w:firstLine="422" w:firstLineChars="200"/>
        <w:rPr>
          <w:rFonts w:ascii="宋体" w:hAnsi="宋体"/>
          <w:b/>
          <w:bCs/>
        </w:rPr>
      </w:pPr>
      <w:bookmarkStart w:id="36" w:name="_Toc361338250"/>
      <w:bookmarkStart w:id="37" w:name="_Toc152042319"/>
      <w:bookmarkStart w:id="38" w:name="_Toc144974511"/>
      <w:bookmarkStart w:id="39" w:name="_Toc152045543"/>
      <w:r>
        <w:rPr>
          <w:rFonts w:ascii="宋体" w:hAnsi="宋体" w:cs="仿宋_GB2312"/>
          <w:b/>
          <w:bCs/>
        </w:rPr>
        <w:t xml:space="preserve">2.1 </w:t>
      </w:r>
      <w:r>
        <w:rPr>
          <w:rFonts w:hint="eastAsia" w:ascii="宋体" w:hAnsi="宋体" w:cs="仿宋_GB2312"/>
          <w:b/>
          <w:bCs/>
        </w:rPr>
        <w:t>招标文件的组成</w:t>
      </w:r>
      <w:bookmarkEnd w:id="36"/>
      <w:bookmarkEnd w:id="37"/>
      <w:bookmarkEnd w:id="38"/>
      <w:bookmarkEnd w:id="39"/>
    </w:p>
    <w:p>
      <w:pPr>
        <w:spacing w:line="400" w:lineRule="exact"/>
        <w:ind w:firstLine="420" w:firstLineChars="200"/>
        <w:outlineLvl w:val="3"/>
        <w:rPr>
          <w:rFonts w:ascii="宋体" w:cs="宋体"/>
          <w:bCs/>
        </w:rPr>
      </w:pPr>
      <w:r>
        <w:rPr>
          <w:rFonts w:hint="eastAsia" w:ascii="宋体" w:cs="宋体"/>
          <w:bCs/>
        </w:rPr>
        <w:t>第一部分  招标公告</w:t>
      </w:r>
    </w:p>
    <w:p>
      <w:pPr>
        <w:spacing w:line="400" w:lineRule="exact"/>
        <w:ind w:firstLine="420" w:firstLineChars="200"/>
        <w:outlineLvl w:val="3"/>
        <w:rPr>
          <w:rFonts w:ascii="宋体" w:cs="宋体"/>
          <w:bCs/>
        </w:rPr>
      </w:pPr>
      <w:r>
        <w:rPr>
          <w:rFonts w:hint="eastAsia" w:ascii="宋体" w:cs="宋体"/>
          <w:bCs/>
        </w:rPr>
        <w:t>第二部分  投标人须知前附表</w:t>
      </w:r>
    </w:p>
    <w:p>
      <w:pPr>
        <w:spacing w:line="400" w:lineRule="exact"/>
        <w:ind w:firstLine="420" w:firstLineChars="200"/>
        <w:outlineLvl w:val="3"/>
        <w:rPr>
          <w:rFonts w:ascii="宋体" w:cs="宋体"/>
          <w:bCs/>
        </w:rPr>
      </w:pPr>
      <w:r>
        <w:rPr>
          <w:rFonts w:hint="eastAsia" w:ascii="宋体" w:cs="宋体"/>
          <w:bCs/>
        </w:rPr>
        <w:t>第三部分  开标和评标</w:t>
      </w:r>
    </w:p>
    <w:p>
      <w:pPr>
        <w:spacing w:line="400" w:lineRule="exact"/>
        <w:ind w:firstLine="420" w:firstLineChars="200"/>
        <w:outlineLvl w:val="3"/>
        <w:rPr>
          <w:rFonts w:ascii="宋体" w:cs="宋体"/>
          <w:bCs/>
        </w:rPr>
      </w:pPr>
      <w:r>
        <w:rPr>
          <w:rFonts w:hint="eastAsia" w:ascii="宋体" w:cs="宋体"/>
          <w:bCs/>
        </w:rPr>
        <w:t>第四部分  服务内容及要求</w:t>
      </w:r>
    </w:p>
    <w:p>
      <w:pPr>
        <w:spacing w:line="400" w:lineRule="exact"/>
        <w:ind w:firstLine="420" w:firstLineChars="200"/>
        <w:outlineLvl w:val="3"/>
        <w:rPr>
          <w:rFonts w:ascii="宋体" w:cs="宋体"/>
          <w:bCs/>
        </w:rPr>
      </w:pPr>
      <w:r>
        <w:rPr>
          <w:rFonts w:hint="eastAsia" w:ascii="宋体" w:cs="宋体"/>
          <w:bCs/>
        </w:rPr>
        <w:t>第五部分  投标文件格式</w:t>
      </w:r>
    </w:p>
    <w:p>
      <w:pPr>
        <w:spacing w:line="400" w:lineRule="exact"/>
        <w:ind w:firstLine="420" w:firstLineChars="200"/>
        <w:outlineLvl w:val="3"/>
        <w:rPr>
          <w:rFonts w:ascii="宋体" w:cs="宋体"/>
          <w:bCs/>
        </w:rPr>
      </w:pPr>
      <w:r>
        <w:rPr>
          <w:rFonts w:hint="eastAsia" w:ascii="宋体" w:cs="宋体"/>
          <w:bCs/>
        </w:rPr>
        <w:t>第六部分  合同格式</w:t>
      </w:r>
    </w:p>
    <w:p>
      <w:pPr>
        <w:spacing w:line="400" w:lineRule="exact"/>
        <w:ind w:firstLine="420" w:firstLineChars="200"/>
        <w:outlineLvl w:val="3"/>
        <w:rPr>
          <w:rFonts w:ascii="宋体" w:cs="宋体"/>
          <w:bCs/>
        </w:rPr>
      </w:pPr>
      <w:r>
        <w:rPr>
          <w:rFonts w:hint="eastAsia" w:ascii="宋体" w:cs="宋体"/>
          <w:bCs/>
        </w:rPr>
        <w:t>根据本章第2.2款和第2.3款对招标文件所作的澄清、修改，构成招标文件的组成部分。当招标文件及其澄清、修改或补充文件对同一内容表述不一致时，以最后发出的文件为准。</w:t>
      </w:r>
    </w:p>
    <w:p>
      <w:pPr>
        <w:pStyle w:val="113"/>
        <w:ind w:firstLine="422"/>
        <w:rPr>
          <w:rFonts w:ascii="宋体" w:eastAsia="宋体"/>
          <w:b/>
          <w:sz w:val="21"/>
          <w:szCs w:val="21"/>
        </w:rPr>
      </w:pPr>
      <w:bookmarkStart w:id="40" w:name="_Toc144974512"/>
      <w:bookmarkStart w:id="41" w:name="_Toc179632562"/>
      <w:bookmarkStart w:id="42" w:name="_Toc152042320"/>
      <w:bookmarkStart w:id="43" w:name="_Toc152045544"/>
      <w:r>
        <w:rPr>
          <w:rFonts w:hint="eastAsia" w:ascii="宋体" w:eastAsia="宋体"/>
          <w:b/>
          <w:sz w:val="21"/>
          <w:szCs w:val="21"/>
        </w:rPr>
        <w:t>2.2 招标文件的</w:t>
      </w:r>
      <w:bookmarkEnd w:id="40"/>
      <w:bookmarkEnd w:id="41"/>
      <w:bookmarkEnd w:id="42"/>
      <w:bookmarkEnd w:id="43"/>
      <w:r>
        <w:rPr>
          <w:rFonts w:hint="eastAsia" w:ascii="宋体" w:eastAsia="宋体"/>
          <w:b/>
          <w:sz w:val="21"/>
          <w:szCs w:val="21"/>
        </w:rPr>
        <w:t>答疑</w:t>
      </w:r>
    </w:p>
    <w:p>
      <w:pPr>
        <w:spacing w:line="400" w:lineRule="exact"/>
        <w:ind w:firstLine="420" w:firstLineChars="200"/>
        <w:outlineLvl w:val="3"/>
        <w:rPr>
          <w:rFonts w:ascii="宋体" w:cs="宋体"/>
          <w:bCs/>
        </w:rPr>
      </w:pPr>
      <w:r>
        <w:rPr>
          <w:rFonts w:hint="eastAsia" w:ascii="宋体" w:cs="宋体"/>
          <w:bCs/>
        </w:rPr>
        <w:t>2.2.1投标人应仔细阅读和检查招标文件的全部内容。如发现缺页或附件不全，应及时向招标人提出，以便补齐。如有异议，应在投标人须知前附表规定的时间前以电子邮件形式要求招标人对招标文件予以回复，提出异议时须注明项目名称及项目编号，不得署名。</w:t>
      </w:r>
    </w:p>
    <w:p>
      <w:pPr>
        <w:spacing w:line="400" w:lineRule="exact"/>
        <w:ind w:firstLine="420" w:firstLineChars="200"/>
        <w:outlineLvl w:val="3"/>
        <w:rPr>
          <w:rFonts w:ascii="宋体" w:cs="宋体"/>
          <w:bCs/>
        </w:rPr>
      </w:pPr>
      <w:r>
        <w:rPr>
          <w:rFonts w:hint="eastAsia" w:ascii="宋体" w:cs="宋体"/>
          <w:bCs/>
        </w:rPr>
        <w:t>2.2.2招标人对投标人提出异议的答复将在阜阳市公共资源（集中招投标）交易中心门户网站（http://jyzx.fy.gov.cn）上发布，但不指明澄清问题的来源。</w:t>
      </w:r>
    </w:p>
    <w:p>
      <w:pPr>
        <w:spacing w:line="400" w:lineRule="exact"/>
        <w:ind w:firstLine="420" w:firstLineChars="200"/>
        <w:outlineLvl w:val="3"/>
        <w:rPr>
          <w:rFonts w:ascii="宋体" w:cs="宋体"/>
          <w:bCs/>
        </w:rPr>
      </w:pPr>
      <w:r>
        <w:rPr>
          <w:rFonts w:hint="eastAsia" w:ascii="宋体" w:cs="宋体"/>
          <w:bCs/>
        </w:rPr>
        <w:t>2.2.3 投标人自行在阜阳市公共资源（集中招投标）交易中心门户网站（http://jyzx.fy.gov.cn）查询，无需确认。</w:t>
      </w:r>
    </w:p>
    <w:p>
      <w:pPr>
        <w:pStyle w:val="113"/>
        <w:rPr>
          <w:rFonts w:ascii="宋体" w:eastAsia="宋体"/>
          <w:b/>
          <w:sz w:val="21"/>
          <w:szCs w:val="21"/>
        </w:rPr>
      </w:pPr>
      <w:bookmarkStart w:id="44" w:name="_Toc152045545"/>
      <w:bookmarkStart w:id="45" w:name="_Toc179632563"/>
      <w:bookmarkStart w:id="46" w:name="_Toc152042321"/>
      <w:bookmarkStart w:id="47" w:name="_Toc144974513"/>
      <w:r>
        <w:rPr>
          <w:rFonts w:hint="eastAsia" w:ascii="宋体" w:eastAsia="宋体"/>
          <w:b/>
          <w:sz w:val="21"/>
          <w:szCs w:val="21"/>
        </w:rPr>
        <w:t>2.3 招标文件的澄清或者修改</w:t>
      </w:r>
      <w:bookmarkEnd w:id="44"/>
      <w:bookmarkEnd w:id="45"/>
      <w:bookmarkEnd w:id="46"/>
      <w:bookmarkEnd w:id="47"/>
    </w:p>
    <w:p>
      <w:pPr>
        <w:spacing w:line="400" w:lineRule="exact"/>
        <w:ind w:firstLine="420" w:firstLineChars="200"/>
        <w:outlineLvl w:val="3"/>
        <w:rPr>
          <w:rFonts w:ascii="宋体" w:cs="宋体"/>
          <w:bCs/>
        </w:rPr>
      </w:pPr>
      <w:r>
        <w:rPr>
          <w:rFonts w:hint="eastAsia" w:ascii="宋体" w:cs="宋体"/>
          <w:bCs/>
        </w:rPr>
        <w:t xml:space="preserve">2.3.1招标人对已发出的招标文件进行的必要澄清或者修改的内容可能影响投标文件编制的应在投标截止时间15天前，在阜阳市公共资源（集中招投标）交易中心门户网站(http://jyzx.fy.gov.cn）上发布，距投标截止时间不足15天，相应延长投标截止时间。 </w:t>
      </w:r>
    </w:p>
    <w:p>
      <w:pPr>
        <w:spacing w:line="400" w:lineRule="exact"/>
        <w:ind w:firstLine="420" w:firstLineChars="200"/>
        <w:outlineLvl w:val="3"/>
        <w:rPr>
          <w:rFonts w:hAnsi="宋体" w:cs="仿宋_GB2312"/>
        </w:rPr>
      </w:pPr>
      <w:r>
        <w:rPr>
          <w:rFonts w:hint="eastAsia" w:ascii="宋体" w:cs="宋体"/>
          <w:bCs/>
        </w:rPr>
        <w:t>2.3.2投标人自行在阜阳市公共资源（集中招投标）交易中心门户网站(http://jyzx.fy.gov.cn）查询，无需确认。</w:t>
      </w:r>
    </w:p>
    <w:p>
      <w:pPr>
        <w:pStyle w:val="113"/>
        <w:spacing w:line="350" w:lineRule="exact"/>
        <w:rPr>
          <w:rFonts w:ascii="宋体" w:hAnsi="宋体" w:eastAsia="宋体"/>
          <w:b/>
          <w:bCs/>
          <w:sz w:val="21"/>
          <w:szCs w:val="21"/>
        </w:rPr>
      </w:pPr>
      <w:bookmarkStart w:id="48" w:name="_Toc152045546"/>
      <w:bookmarkStart w:id="49" w:name="_Toc152042322"/>
      <w:bookmarkStart w:id="50" w:name="_Toc361338253"/>
      <w:bookmarkStart w:id="51" w:name="_Toc144974514"/>
      <w:r>
        <w:rPr>
          <w:rFonts w:ascii="宋体" w:hAnsi="宋体" w:eastAsia="宋体" w:cs="仿宋_GB2312"/>
          <w:b/>
          <w:bCs/>
          <w:sz w:val="21"/>
          <w:szCs w:val="21"/>
        </w:rPr>
        <w:t xml:space="preserve">3. </w:t>
      </w:r>
      <w:r>
        <w:rPr>
          <w:rFonts w:hint="eastAsia" w:ascii="宋体" w:hAnsi="宋体" w:eastAsia="宋体" w:cs="仿宋_GB2312"/>
          <w:b/>
          <w:bCs/>
          <w:sz w:val="21"/>
          <w:szCs w:val="21"/>
        </w:rPr>
        <w:t>投标文件</w:t>
      </w:r>
      <w:bookmarkEnd w:id="48"/>
      <w:bookmarkEnd w:id="49"/>
      <w:bookmarkEnd w:id="50"/>
      <w:bookmarkEnd w:id="51"/>
    </w:p>
    <w:p>
      <w:pPr>
        <w:pStyle w:val="113"/>
        <w:spacing w:line="350" w:lineRule="exact"/>
        <w:rPr>
          <w:rFonts w:ascii="宋体" w:hAnsi="宋体" w:eastAsia="宋体"/>
          <w:b/>
          <w:bCs/>
          <w:sz w:val="21"/>
          <w:szCs w:val="21"/>
        </w:rPr>
      </w:pPr>
      <w:bookmarkStart w:id="52" w:name="_Toc152045547"/>
      <w:bookmarkStart w:id="53" w:name="_Toc361338254"/>
      <w:bookmarkStart w:id="54" w:name="_Toc144974515"/>
      <w:bookmarkStart w:id="55" w:name="_Toc152042323"/>
      <w:r>
        <w:rPr>
          <w:rFonts w:ascii="宋体" w:hAnsi="宋体" w:eastAsia="宋体" w:cs="仿宋_GB2312"/>
          <w:b/>
          <w:bCs/>
          <w:sz w:val="21"/>
          <w:szCs w:val="21"/>
        </w:rPr>
        <w:t xml:space="preserve">3.1 </w:t>
      </w:r>
      <w:r>
        <w:rPr>
          <w:rFonts w:hint="eastAsia" w:ascii="宋体" w:hAnsi="宋体" w:eastAsia="宋体" w:cs="仿宋_GB2312"/>
          <w:b/>
          <w:bCs/>
          <w:sz w:val="21"/>
          <w:szCs w:val="21"/>
        </w:rPr>
        <w:t>投标文件的组成</w:t>
      </w:r>
      <w:bookmarkEnd w:id="52"/>
      <w:bookmarkEnd w:id="53"/>
      <w:bookmarkEnd w:id="54"/>
      <w:bookmarkEnd w:id="55"/>
      <w:r>
        <w:rPr>
          <w:rFonts w:hint="eastAsia" w:ascii="宋体" w:hAnsi="宋体" w:eastAsia="宋体" w:cs="仿宋_GB2312"/>
          <w:b/>
          <w:bCs/>
          <w:sz w:val="21"/>
          <w:szCs w:val="21"/>
        </w:rPr>
        <w:t>及</w:t>
      </w:r>
      <w:r>
        <w:rPr>
          <w:rFonts w:hint="eastAsia" w:ascii="宋体" w:eastAsia="宋体"/>
          <w:b/>
          <w:sz w:val="21"/>
          <w:szCs w:val="21"/>
        </w:rPr>
        <w:t>资格审查资料</w:t>
      </w:r>
    </w:p>
    <w:p>
      <w:pPr>
        <w:spacing w:line="400" w:lineRule="exact"/>
        <w:ind w:firstLine="420" w:firstLineChars="200"/>
        <w:outlineLvl w:val="3"/>
        <w:rPr>
          <w:rFonts w:ascii="宋体" w:cs="宋体"/>
          <w:bCs/>
        </w:rPr>
      </w:pPr>
      <w:r>
        <w:rPr>
          <w:rFonts w:hint="eastAsia" w:ascii="宋体" w:cs="宋体"/>
          <w:bCs/>
        </w:rPr>
        <w:t>3.1.1投标文件份包括的内容：见投标人须知前附表。</w:t>
      </w:r>
    </w:p>
    <w:p>
      <w:pPr>
        <w:spacing w:line="400" w:lineRule="exact"/>
        <w:ind w:firstLine="420" w:firstLineChars="200"/>
        <w:outlineLvl w:val="3"/>
        <w:rPr>
          <w:rFonts w:ascii="宋体" w:cs="宋体"/>
          <w:bCs/>
        </w:rPr>
      </w:pPr>
      <w:r>
        <w:rPr>
          <w:rFonts w:hint="eastAsia" w:ascii="宋体" w:cs="宋体"/>
          <w:bCs/>
        </w:rPr>
        <w:t>3.1.2包括以下内容：</w:t>
      </w:r>
    </w:p>
    <w:p>
      <w:pPr>
        <w:spacing w:line="400" w:lineRule="exact"/>
        <w:ind w:firstLine="420" w:firstLineChars="200"/>
        <w:outlineLvl w:val="3"/>
        <w:rPr>
          <w:rFonts w:ascii="宋体" w:cs="宋体"/>
          <w:bCs/>
        </w:rPr>
      </w:pPr>
      <w:r>
        <w:rPr>
          <w:rFonts w:hint="eastAsia" w:ascii="宋体" w:cs="宋体"/>
          <w:bCs/>
        </w:rPr>
        <w:t>（1）投 标 函</w:t>
      </w:r>
    </w:p>
    <w:p>
      <w:pPr>
        <w:spacing w:line="400" w:lineRule="exact"/>
        <w:ind w:firstLine="420" w:firstLineChars="200"/>
        <w:outlineLvl w:val="3"/>
        <w:rPr>
          <w:rFonts w:ascii="宋体" w:cs="宋体"/>
          <w:bCs/>
        </w:rPr>
      </w:pPr>
      <w:r>
        <w:rPr>
          <w:rFonts w:hint="eastAsia" w:ascii="宋体" w:cs="宋体"/>
          <w:bCs/>
        </w:rPr>
        <w:t>（2）法定代表人身份证明书；</w:t>
      </w:r>
    </w:p>
    <w:p>
      <w:pPr>
        <w:spacing w:line="400" w:lineRule="exact"/>
        <w:ind w:firstLine="420" w:firstLineChars="200"/>
        <w:outlineLvl w:val="3"/>
        <w:rPr>
          <w:rFonts w:ascii="宋体" w:cs="宋体"/>
          <w:bCs/>
        </w:rPr>
      </w:pPr>
      <w:r>
        <w:rPr>
          <w:rFonts w:hint="eastAsia" w:ascii="宋体" w:cs="宋体"/>
          <w:bCs/>
        </w:rPr>
        <w:t>（3）法定代表人授权委托书（递交投标文件时提供原件）；</w:t>
      </w:r>
    </w:p>
    <w:p>
      <w:pPr>
        <w:spacing w:line="400" w:lineRule="exact"/>
        <w:ind w:firstLine="420" w:firstLineChars="200"/>
        <w:outlineLvl w:val="3"/>
        <w:rPr>
          <w:rFonts w:ascii="宋体" w:cs="宋体"/>
          <w:bCs/>
        </w:rPr>
      </w:pPr>
      <w:r>
        <w:rPr>
          <w:rFonts w:hint="eastAsia" w:ascii="宋体" w:cs="宋体"/>
          <w:bCs/>
        </w:rPr>
        <w:t>（4）投标保证金</w:t>
      </w:r>
    </w:p>
    <w:p>
      <w:pPr>
        <w:spacing w:line="400" w:lineRule="exact"/>
        <w:ind w:firstLine="420" w:firstLineChars="200"/>
        <w:outlineLvl w:val="3"/>
        <w:rPr>
          <w:rFonts w:ascii="宋体" w:cs="宋体"/>
          <w:bCs/>
        </w:rPr>
      </w:pPr>
      <w:r>
        <w:rPr>
          <w:rFonts w:hint="eastAsia" w:ascii="宋体" w:cs="宋体"/>
          <w:bCs/>
        </w:rPr>
        <w:t>（5）投标人情况综合简介；</w:t>
      </w:r>
    </w:p>
    <w:p>
      <w:pPr>
        <w:spacing w:line="400" w:lineRule="exact"/>
        <w:ind w:firstLine="420" w:firstLineChars="200"/>
        <w:outlineLvl w:val="3"/>
        <w:rPr>
          <w:rFonts w:ascii="宋体" w:cs="宋体"/>
          <w:bCs/>
        </w:rPr>
      </w:pPr>
      <w:r>
        <w:rPr>
          <w:rFonts w:hint="eastAsia" w:ascii="宋体" w:cs="宋体"/>
          <w:bCs/>
        </w:rPr>
        <w:t>（6）成功完成业绩一览表</w:t>
      </w:r>
    </w:p>
    <w:p>
      <w:pPr>
        <w:spacing w:line="400" w:lineRule="exact"/>
        <w:ind w:firstLine="420" w:firstLineChars="200"/>
        <w:outlineLvl w:val="3"/>
        <w:rPr>
          <w:rFonts w:ascii="宋体" w:cs="宋体"/>
          <w:bCs/>
        </w:rPr>
      </w:pPr>
      <w:r>
        <w:rPr>
          <w:rFonts w:hint="eastAsia" w:ascii="宋体" w:cs="宋体"/>
          <w:bCs/>
        </w:rPr>
        <w:t>（7）服务方案</w:t>
      </w:r>
    </w:p>
    <w:p>
      <w:pPr>
        <w:spacing w:line="400" w:lineRule="exact"/>
        <w:ind w:firstLine="420" w:firstLineChars="200"/>
        <w:outlineLvl w:val="3"/>
        <w:rPr>
          <w:rFonts w:ascii="宋体" w:cs="宋体"/>
          <w:bCs/>
        </w:rPr>
      </w:pPr>
      <w:r>
        <w:rPr>
          <w:rFonts w:hint="eastAsia" w:ascii="宋体" w:cs="宋体"/>
          <w:bCs/>
        </w:rPr>
        <w:t>（8）资格证明文件</w:t>
      </w:r>
    </w:p>
    <w:p>
      <w:pPr>
        <w:spacing w:line="400" w:lineRule="exact"/>
        <w:ind w:firstLine="420" w:firstLineChars="200"/>
        <w:outlineLvl w:val="3"/>
        <w:rPr>
          <w:rFonts w:ascii="宋体" w:cs="宋体"/>
          <w:bCs/>
        </w:rPr>
      </w:pPr>
      <w:r>
        <w:rPr>
          <w:rFonts w:hint="eastAsia" w:ascii="宋体" w:cs="宋体"/>
          <w:bCs/>
        </w:rPr>
        <w:t>（9)拟派本项目发行项目人员配备情况表；</w:t>
      </w:r>
    </w:p>
    <w:p>
      <w:pPr>
        <w:spacing w:line="400" w:lineRule="exact"/>
        <w:ind w:firstLine="420" w:firstLineChars="200"/>
        <w:outlineLvl w:val="3"/>
        <w:rPr>
          <w:rFonts w:ascii="宋体" w:cs="宋体"/>
          <w:bCs/>
        </w:rPr>
      </w:pPr>
      <w:r>
        <w:rPr>
          <w:rFonts w:hint="eastAsia" w:ascii="宋体" w:cs="宋体"/>
          <w:bCs/>
        </w:rPr>
        <w:t>（10)投标人认为须要提供的其他资料</w:t>
      </w:r>
    </w:p>
    <w:p>
      <w:pPr>
        <w:tabs>
          <w:tab w:val="left" w:pos="754"/>
        </w:tabs>
        <w:spacing w:line="400" w:lineRule="exact"/>
        <w:ind w:firstLine="422" w:firstLineChars="200"/>
        <w:outlineLvl w:val="3"/>
        <w:rPr>
          <w:rFonts w:ascii="宋体" w:cs="宋体"/>
          <w:bCs/>
        </w:rPr>
      </w:pPr>
      <w:r>
        <w:rPr>
          <w:rFonts w:hint="eastAsia" w:ascii="宋体"/>
          <w:b/>
        </w:rPr>
        <w:t>3.2资格审查资料（提供加盖单位公章的复印件）</w:t>
      </w:r>
    </w:p>
    <w:p>
      <w:pPr>
        <w:widowControl/>
        <w:shd w:val="clear" w:color="auto" w:fill="FFFFFF"/>
        <w:spacing w:line="500" w:lineRule="atLeast"/>
        <w:jc w:val="left"/>
        <w:rPr>
          <w:rFonts w:ascii="宋体" w:cs="宋体"/>
          <w:bCs/>
          <w:highlight w:val="yellow"/>
        </w:rPr>
      </w:pPr>
      <w:r>
        <w:rPr>
          <w:rFonts w:hint="eastAsia" w:ascii="宋体" w:cs="宋体"/>
          <w:bCs/>
        </w:rPr>
        <w:t xml:space="preserve">   （1）有效的营业执照副本、组织机构代码证副本、税务登记证副本（或有效的三证合一的营业执照副本）；</w:t>
      </w:r>
      <w:r>
        <w:rPr>
          <w:rFonts w:hint="eastAsia" w:ascii="宋体" w:hAnsi="宋体" w:cs="宋体"/>
        </w:rPr>
        <w:t>中国证券监督管理委员会核发的有效的《经营证券业务许可证》</w:t>
      </w:r>
      <w:r>
        <w:rPr>
          <w:rFonts w:hint="eastAsia" w:ascii="宋体" w:cs="宋体"/>
          <w:bCs/>
        </w:rPr>
        <w:t>；投标保证金转账凭证等。</w:t>
      </w:r>
    </w:p>
    <w:p>
      <w:pPr>
        <w:spacing w:line="400" w:lineRule="exact"/>
        <w:ind w:firstLine="420" w:firstLineChars="200"/>
        <w:outlineLvl w:val="3"/>
        <w:rPr>
          <w:rFonts w:ascii="宋体" w:cs="宋体"/>
          <w:bCs/>
        </w:rPr>
      </w:pPr>
      <w:r>
        <w:rPr>
          <w:rFonts w:hint="eastAsia" w:ascii="宋体" w:cs="宋体"/>
          <w:bCs/>
        </w:rPr>
        <w:t>（2）投标人认为其他有必要提供的相关资料；</w:t>
      </w:r>
    </w:p>
    <w:p>
      <w:pPr>
        <w:pStyle w:val="113"/>
        <w:spacing w:line="360" w:lineRule="exact"/>
        <w:rPr>
          <w:rFonts w:ascii="宋体" w:hAnsi="宋体" w:eastAsia="宋体"/>
          <w:b/>
          <w:bCs/>
          <w:sz w:val="21"/>
          <w:szCs w:val="21"/>
        </w:rPr>
      </w:pPr>
      <w:bookmarkStart w:id="56" w:name="_Toc144974516"/>
      <w:bookmarkStart w:id="57" w:name="_Toc361338255"/>
      <w:bookmarkStart w:id="58" w:name="_Toc152045548"/>
      <w:bookmarkStart w:id="59" w:name="_Toc152042324"/>
      <w:r>
        <w:rPr>
          <w:rFonts w:ascii="宋体" w:hAnsi="宋体" w:eastAsia="宋体" w:cs="仿宋_GB2312"/>
          <w:b/>
          <w:bCs/>
          <w:sz w:val="21"/>
          <w:szCs w:val="21"/>
        </w:rPr>
        <w:t xml:space="preserve">3.2 </w:t>
      </w:r>
      <w:bookmarkEnd w:id="56"/>
      <w:bookmarkEnd w:id="57"/>
      <w:bookmarkEnd w:id="58"/>
      <w:bookmarkEnd w:id="59"/>
      <w:r>
        <w:rPr>
          <w:rFonts w:hint="eastAsia" w:ascii="宋体" w:hAnsi="宋体" w:eastAsia="宋体" w:cs="仿宋_GB2312"/>
          <w:b/>
          <w:bCs/>
          <w:sz w:val="21"/>
          <w:szCs w:val="21"/>
        </w:rPr>
        <w:t>投标报价</w:t>
      </w:r>
    </w:p>
    <w:p>
      <w:pPr>
        <w:spacing w:line="400" w:lineRule="exact"/>
        <w:ind w:firstLine="420" w:firstLineChars="200"/>
        <w:outlineLvl w:val="3"/>
        <w:rPr>
          <w:rFonts w:ascii="宋体" w:cs="宋体"/>
          <w:bCs/>
        </w:rPr>
      </w:pPr>
      <w:r>
        <w:rPr>
          <w:rFonts w:hint="eastAsia" w:ascii="宋体" w:cs="宋体"/>
          <w:bCs/>
        </w:rPr>
        <w:t>3.2.1只允许一个报价，不接受任何有选择性的报价。</w:t>
      </w:r>
    </w:p>
    <w:p>
      <w:pPr>
        <w:spacing w:line="312" w:lineRule="auto"/>
        <w:rPr>
          <w:rFonts w:ascii="宋体" w:cs="宋体"/>
          <w:b/>
          <w:highlight w:val="yellow"/>
        </w:rPr>
      </w:pPr>
      <w:r>
        <w:rPr>
          <w:rFonts w:hint="eastAsia" w:ascii="宋体" w:cs="宋体"/>
          <w:bCs/>
        </w:rPr>
        <w:t xml:space="preserve">    3.2.2本项目承销方式为余额包销。</w:t>
      </w:r>
    </w:p>
    <w:p>
      <w:pPr>
        <w:spacing w:line="400" w:lineRule="exact"/>
        <w:ind w:firstLine="420" w:firstLineChars="200"/>
        <w:outlineLvl w:val="3"/>
        <w:rPr>
          <w:rFonts w:ascii="宋体" w:cs="宋体"/>
          <w:bCs/>
        </w:rPr>
      </w:pPr>
      <w:r>
        <w:rPr>
          <w:rFonts w:hint="eastAsia" w:ascii="宋体" w:cs="宋体"/>
          <w:bCs/>
        </w:rPr>
        <w:t>3.2.3最终的承销费（承销佣金）结算以募资到位金额乘以中标承销费费率为准。</w:t>
      </w:r>
    </w:p>
    <w:p>
      <w:pPr>
        <w:pStyle w:val="113"/>
        <w:spacing w:line="360" w:lineRule="exact"/>
        <w:rPr>
          <w:rFonts w:ascii="宋体" w:hAnsi="宋体" w:eastAsia="宋体"/>
          <w:b/>
          <w:bCs/>
          <w:sz w:val="21"/>
          <w:szCs w:val="21"/>
        </w:rPr>
      </w:pPr>
      <w:bookmarkStart w:id="60" w:name="_Toc152045549"/>
      <w:bookmarkStart w:id="61" w:name="_Toc144974517"/>
      <w:bookmarkStart w:id="62" w:name="_Toc361338256"/>
      <w:bookmarkStart w:id="63" w:name="_Toc152042325"/>
      <w:r>
        <w:rPr>
          <w:rFonts w:ascii="宋体" w:hAnsi="宋体" w:eastAsia="宋体" w:cs="仿宋_GB2312"/>
          <w:b/>
          <w:bCs/>
          <w:sz w:val="21"/>
          <w:szCs w:val="21"/>
        </w:rPr>
        <w:t xml:space="preserve">3.3 </w:t>
      </w:r>
      <w:r>
        <w:rPr>
          <w:rFonts w:hint="eastAsia" w:ascii="宋体" w:hAnsi="宋体" w:eastAsia="宋体" w:cs="仿宋_GB2312"/>
          <w:b/>
          <w:bCs/>
          <w:sz w:val="21"/>
          <w:szCs w:val="21"/>
        </w:rPr>
        <w:t>投标有效期</w:t>
      </w:r>
      <w:bookmarkEnd w:id="60"/>
      <w:bookmarkEnd w:id="61"/>
      <w:bookmarkEnd w:id="62"/>
      <w:bookmarkEnd w:id="63"/>
    </w:p>
    <w:p>
      <w:pPr>
        <w:spacing w:line="400" w:lineRule="exact"/>
        <w:ind w:firstLine="420" w:firstLineChars="200"/>
        <w:outlineLvl w:val="3"/>
        <w:rPr>
          <w:rFonts w:ascii="宋体" w:cs="宋体"/>
          <w:bCs/>
        </w:rPr>
      </w:pPr>
      <w:bookmarkStart w:id="64" w:name="_Toc152045550"/>
      <w:bookmarkStart w:id="65" w:name="_Toc152042326"/>
      <w:bookmarkStart w:id="66" w:name="_Toc361338257"/>
      <w:bookmarkStart w:id="67" w:name="_Toc144974518"/>
      <w:r>
        <w:rPr>
          <w:rFonts w:hint="eastAsia" w:ascii="宋体" w:cs="宋体"/>
          <w:bCs/>
        </w:rPr>
        <w:t>3.3.1在投标人须知前附表规定的投标有效期内，投标人不得要求撤销或修改其投标文件。</w:t>
      </w:r>
    </w:p>
    <w:p>
      <w:pPr>
        <w:spacing w:line="400" w:lineRule="exact"/>
        <w:ind w:firstLine="420" w:firstLineChars="200"/>
        <w:outlineLvl w:val="3"/>
        <w:rPr>
          <w:rFonts w:ascii="宋体" w:cs="宋体"/>
          <w:bCs/>
        </w:rPr>
      </w:pPr>
      <w:r>
        <w:rPr>
          <w:rFonts w:hint="eastAsia" w:ascii="宋体" w:cs="宋体"/>
          <w:bCs/>
        </w:rPr>
        <w:t xml:space="preserve">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pStyle w:val="113"/>
        <w:spacing w:line="360" w:lineRule="exact"/>
        <w:rPr>
          <w:rFonts w:ascii="宋体" w:hAnsi="宋体" w:eastAsia="宋体" w:cs="仿宋_GB2312"/>
          <w:b/>
          <w:bCs/>
          <w:sz w:val="21"/>
          <w:szCs w:val="21"/>
        </w:rPr>
      </w:pPr>
      <w:r>
        <w:rPr>
          <w:rFonts w:hint="eastAsia" w:ascii="宋体" w:hAnsi="宋体" w:eastAsia="宋体" w:cs="仿宋_GB2312"/>
          <w:b/>
          <w:bCs/>
          <w:sz w:val="21"/>
          <w:szCs w:val="21"/>
        </w:rPr>
        <w:t>3.4 投标保证金</w:t>
      </w:r>
      <w:bookmarkEnd w:id="64"/>
      <w:bookmarkEnd w:id="65"/>
      <w:bookmarkEnd w:id="66"/>
      <w:bookmarkEnd w:id="67"/>
    </w:p>
    <w:p>
      <w:pPr>
        <w:spacing w:line="400" w:lineRule="exact"/>
        <w:ind w:firstLine="420" w:firstLineChars="200"/>
        <w:outlineLvl w:val="3"/>
        <w:rPr>
          <w:rFonts w:ascii="宋体" w:cs="宋体"/>
          <w:bCs/>
        </w:rPr>
      </w:pPr>
      <w:r>
        <w:rPr>
          <w:rFonts w:hint="eastAsia" w:ascii="宋体" w:cs="宋体"/>
          <w:bCs/>
        </w:rPr>
        <w:t>3.4.1投标人在递交投标文件的同时，投标保证金作为其投标文件的组成部分。联合体投标的，其投标保证金由牵头人递交，并应符合投标人须知前附表的规定。</w:t>
      </w:r>
    </w:p>
    <w:p>
      <w:pPr>
        <w:spacing w:line="400" w:lineRule="exact"/>
        <w:ind w:firstLine="420" w:firstLineChars="200"/>
        <w:outlineLvl w:val="3"/>
        <w:rPr>
          <w:rFonts w:ascii="宋体" w:cs="宋体"/>
          <w:bCs/>
        </w:rPr>
      </w:pPr>
      <w:r>
        <w:rPr>
          <w:rFonts w:hint="eastAsia" w:ascii="宋体" w:cs="宋体"/>
          <w:bCs/>
        </w:rPr>
        <w:t>3.4.2 投标人不按本章第3.4.1项要求提交投标保证金的，将否决其投标。</w:t>
      </w:r>
    </w:p>
    <w:p>
      <w:pPr>
        <w:spacing w:line="400" w:lineRule="exact"/>
        <w:ind w:firstLine="420" w:firstLineChars="200"/>
        <w:outlineLvl w:val="3"/>
        <w:rPr>
          <w:rFonts w:ascii="宋体" w:cs="宋体"/>
          <w:bCs/>
        </w:rPr>
      </w:pPr>
      <w:r>
        <w:rPr>
          <w:rFonts w:hint="eastAsia" w:ascii="宋体" w:cs="宋体"/>
          <w:bCs/>
        </w:rPr>
        <w:t xml:space="preserve">3.4.3 投标人的投标保证金转账凭证原件由招标代理机构留置并开具收据，以便及时退还投标保证金。投标人的投标保证金是否到帐由招标代理机构查询,最迟应当在书面合同签订后5日内由招标代理机构退还投标保证金。 </w:t>
      </w:r>
    </w:p>
    <w:p>
      <w:pPr>
        <w:spacing w:line="400" w:lineRule="exact"/>
        <w:ind w:firstLine="420" w:firstLineChars="200"/>
        <w:outlineLvl w:val="3"/>
        <w:rPr>
          <w:rFonts w:ascii="宋体" w:cs="宋体"/>
          <w:bCs/>
        </w:rPr>
      </w:pPr>
      <w:r>
        <w:rPr>
          <w:rFonts w:hint="eastAsia" w:ascii="宋体" w:cs="宋体"/>
          <w:bCs/>
        </w:rPr>
        <w:t xml:space="preserve">3.4.4 有下列情形之一的，投标保证金将不予退还： </w:t>
      </w:r>
    </w:p>
    <w:p>
      <w:pPr>
        <w:spacing w:line="400" w:lineRule="exact"/>
        <w:ind w:firstLine="420" w:firstLineChars="200"/>
        <w:outlineLvl w:val="3"/>
        <w:rPr>
          <w:rFonts w:ascii="宋体" w:cs="宋体"/>
          <w:bCs/>
        </w:rPr>
      </w:pPr>
      <w:r>
        <w:rPr>
          <w:rFonts w:hint="eastAsia" w:ascii="宋体" w:cs="宋体"/>
          <w:bCs/>
        </w:rPr>
        <w:t>（1）投标人在规定的投标有效期内撤销或修改其投标文件。</w:t>
      </w:r>
    </w:p>
    <w:p>
      <w:pPr>
        <w:spacing w:line="400" w:lineRule="exact"/>
        <w:ind w:firstLine="420" w:firstLineChars="200"/>
        <w:outlineLvl w:val="3"/>
        <w:rPr>
          <w:rFonts w:ascii="宋体" w:cs="宋体"/>
          <w:bCs/>
        </w:rPr>
      </w:pPr>
      <w:r>
        <w:rPr>
          <w:rFonts w:hint="eastAsia" w:ascii="宋体" w:cs="宋体"/>
          <w:bCs/>
        </w:rPr>
        <w:t>（2）中标人在收到中标通知书后，无正当理由拒签合同协议书或未按招标文件规定提交履约担保。</w:t>
      </w:r>
    </w:p>
    <w:p>
      <w:pPr>
        <w:spacing w:line="400" w:lineRule="exact"/>
        <w:ind w:firstLine="420" w:firstLineChars="200"/>
        <w:outlineLvl w:val="3"/>
        <w:rPr>
          <w:rFonts w:ascii="宋体" w:cs="宋体"/>
          <w:bCs/>
        </w:rPr>
      </w:pPr>
      <w:r>
        <w:rPr>
          <w:rFonts w:hint="eastAsia" w:ascii="宋体" w:cs="宋体"/>
          <w:bCs/>
        </w:rPr>
        <w:t>（3）招标文件约定的其他情形。</w:t>
      </w:r>
    </w:p>
    <w:p>
      <w:pPr>
        <w:spacing w:line="400" w:lineRule="exact"/>
        <w:ind w:firstLine="420" w:firstLineChars="200"/>
        <w:outlineLvl w:val="3"/>
        <w:rPr>
          <w:rFonts w:ascii="宋体" w:cs="宋体"/>
          <w:bCs/>
        </w:rPr>
      </w:pPr>
      <w:r>
        <w:rPr>
          <w:rFonts w:hint="eastAsia" w:ascii="宋体" w:cs="宋体"/>
          <w:bCs/>
        </w:rPr>
        <w:t>3.4.5构成不予退还的投标保证金由招标人负责进行处理。</w:t>
      </w:r>
    </w:p>
    <w:p>
      <w:pPr>
        <w:pStyle w:val="113"/>
        <w:spacing w:line="360" w:lineRule="exact"/>
        <w:rPr>
          <w:rFonts w:ascii="宋体" w:hAnsi="宋体" w:eastAsia="宋体"/>
          <w:b/>
          <w:bCs/>
          <w:sz w:val="21"/>
          <w:szCs w:val="21"/>
        </w:rPr>
      </w:pPr>
      <w:bookmarkStart w:id="68" w:name="_Toc152042330"/>
      <w:bookmarkStart w:id="69" w:name="_Toc361338260"/>
      <w:bookmarkStart w:id="70" w:name="_Toc144974522"/>
      <w:bookmarkStart w:id="71" w:name="_Toc152045554"/>
      <w:r>
        <w:rPr>
          <w:rFonts w:ascii="宋体" w:hAnsi="宋体" w:eastAsia="宋体" w:cs="仿宋_GB2312"/>
          <w:b/>
          <w:bCs/>
          <w:sz w:val="21"/>
          <w:szCs w:val="21"/>
        </w:rPr>
        <w:t>3.5</w:t>
      </w:r>
      <w:r>
        <w:rPr>
          <w:rFonts w:hint="eastAsia" w:ascii="宋体" w:hAnsi="宋体" w:eastAsia="宋体" w:cs="仿宋_GB2312"/>
          <w:b/>
          <w:bCs/>
          <w:sz w:val="21"/>
          <w:szCs w:val="21"/>
        </w:rPr>
        <w:t>投标文件的编制</w:t>
      </w:r>
      <w:bookmarkEnd w:id="68"/>
      <w:bookmarkEnd w:id="69"/>
      <w:bookmarkEnd w:id="70"/>
      <w:bookmarkEnd w:id="71"/>
    </w:p>
    <w:p>
      <w:pPr>
        <w:spacing w:line="400" w:lineRule="exact"/>
        <w:ind w:firstLine="420" w:firstLineChars="200"/>
        <w:outlineLvl w:val="3"/>
        <w:rPr>
          <w:rFonts w:ascii="宋体" w:cs="宋体"/>
          <w:bCs/>
        </w:rPr>
      </w:pPr>
      <w:r>
        <w:rPr>
          <w:rFonts w:hint="eastAsia" w:ascii="宋体" w:cs="宋体"/>
          <w:bCs/>
        </w:rPr>
        <w:t>3.5.1投标文件应按招标文件规定的“投标文件格式”进行编写，如有必要，可以增加附页，作为投标文件的组成部分。</w:t>
      </w:r>
    </w:p>
    <w:p>
      <w:pPr>
        <w:spacing w:line="400" w:lineRule="exact"/>
        <w:ind w:firstLine="420" w:firstLineChars="200"/>
        <w:outlineLvl w:val="3"/>
        <w:rPr>
          <w:rFonts w:ascii="宋体" w:cs="宋体"/>
          <w:bCs/>
        </w:rPr>
      </w:pPr>
      <w:r>
        <w:rPr>
          <w:rFonts w:hint="eastAsia" w:ascii="宋体" w:cs="宋体"/>
          <w:bCs/>
        </w:rPr>
        <w:t>3.5.2 投标文件应当对招标文件有关实质性内容作出响应。</w:t>
      </w:r>
    </w:p>
    <w:p>
      <w:pPr>
        <w:spacing w:line="400" w:lineRule="exact"/>
        <w:ind w:firstLine="420" w:firstLineChars="200"/>
        <w:outlineLvl w:val="3"/>
        <w:rPr>
          <w:rFonts w:ascii="宋体" w:cs="宋体"/>
          <w:bCs/>
        </w:rPr>
      </w:pPr>
      <w:r>
        <w:rPr>
          <w:rFonts w:hint="eastAsia" w:ascii="宋体" w:cs="宋体"/>
          <w:bCs/>
        </w:rPr>
        <w:t xml:space="preserve">3.5.3签字或盖章的具体要求见投标人须知前附表。 </w:t>
      </w:r>
    </w:p>
    <w:p>
      <w:pPr>
        <w:spacing w:line="400" w:lineRule="exact"/>
        <w:ind w:firstLine="420" w:firstLineChars="200"/>
        <w:outlineLvl w:val="3"/>
        <w:rPr>
          <w:rFonts w:ascii="宋体" w:cs="宋体"/>
          <w:bCs/>
        </w:rPr>
      </w:pPr>
      <w:r>
        <w:rPr>
          <w:rFonts w:hint="eastAsia" w:ascii="宋体" w:cs="宋体"/>
          <w:bCs/>
        </w:rPr>
        <w:t>3.5.4 投标文件份数见投标人须知前附表。如设正副本，正本和副本的封面上应清楚地标记“正本”或“副本”的字样。当副本和正本不一致时，以正本为准。</w:t>
      </w:r>
    </w:p>
    <w:p>
      <w:pPr>
        <w:spacing w:line="400" w:lineRule="exact"/>
        <w:ind w:firstLine="420" w:firstLineChars="200"/>
        <w:outlineLvl w:val="3"/>
        <w:rPr>
          <w:rFonts w:ascii="宋体" w:cs="宋体"/>
          <w:bCs/>
        </w:rPr>
      </w:pPr>
      <w:r>
        <w:rPr>
          <w:rFonts w:hint="eastAsia" w:ascii="宋体" w:cs="宋体"/>
          <w:bCs/>
        </w:rPr>
        <w:t>3.5.5 投标文件应装订成册，并编制目录，具体装订要求见投标人须知前附表规定。</w:t>
      </w:r>
    </w:p>
    <w:p>
      <w:pPr>
        <w:pStyle w:val="113"/>
        <w:spacing w:line="360" w:lineRule="exact"/>
        <w:rPr>
          <w:rFonts w:ascii="宋体" w:hAnsi="宋体" w:eastAsia="宋体"/>
          <w:b/>
          <w:bCs/>
          <w:sz w:val="21"/>
          <w:szCs w:val="21"/>
        </w:rPr>
      </w:pPr>
      <w:bookmarkStart w:id="72" w:name="_Toc152045555"/>
      <w:bookmarkStart w:id="73" w:name="_Toc152042331"/>
      <w:bookmarkStart w:id="74" w:name="_Toc144974523"/>
      <w:r>
        <w:rPr>
          <w:rFonts w:ascii="宋体" w:hAnsi="宋体" w:eastAsia="宋体" w:cs="仿宋_GB2312"/>
          <w:b/>
          <w:bCs/>
          <w:sz w:val="21"/>
          <w:szCs w:val="21"/>
        </w:rPr>
        <w:t xml:space="preserve">4. </w:t>
      </w:r>
      <w:r>
        <w:rPr>
          <w:rFonts w:hint="eastAsia" w:ascii="宋体" w:hAnsi="宋体" w:eastAsia="宋体" w:cs="仿宋_GB2312"/>
          <w:b/>
          <w:bCs/>
          <w:sz w:val="21"/>
          <w:szCs w:val="21"/>
        </w:rPr>
        <w:t>投标</w:t>
      </w:r>
      <w:bookmarkEnd w:id="72"/>
      <w:bookmarkEnd w:id="73"/>
      <w:bookmarkEnd w:id="74"/>
    </w:p>
    <w:p>
      <w:pPr>
        <w:pStyle w:val="113"/>
        <w:spacing w:line="360" w:lineRule="exact"/>
        <w:rPr>
          <w:rFonts w:ascii="宋体" w:hAnsi="宋体" w:eastAsia="宋体"/>
          <w:b/>
          <w:bCs/>
          <w:sz w:val="21"/>
          <w:szCs w:val="21"/>
        </w:rPr>
      </w:pPr>
      <w:bookmarkStart w:id="75" w:name="_Toc144974524"/>
      <w:bookmarkStart w:id="76" w:name="_Toc152042332"/>
      <w:bookmarkStart w:id="77" w:name="_Toc152045556"/>
      <w:bookmarkStart w:id="78" w:name="_Toc361338261"/>
      <w:r>
        <w:rPr>
          <w:rFonts w:ascii="宋体" w:hAnsi="宋体" w:eastAsia="宋体" w:cs="仿宋_GB2312"/>
          <w:b/>
          <w:bCs/>
          <w:sz w:val="21"/>
          <w:szCs w:val="21"/>
        </w:rPr>
        <w:t xml:space="preserve">4.1 </w:t>
      </w:r>
      <w:r>
        <w:rPr>
          <w:rFonts w:hint="eastAsia" w:ascii="宋体" w:hAnsi="宋体" w:eastAsia="宋体" w:cs="仿宋_GB2312"/>
          <w:b/>
          <w:bCs/>
          <w:sz w:val="21"/>
          <w:szCs w:val="21"/>
        </w:rPr>
        <w:t>投标文件的密封和标记</w:t>
      </w:r>
      <w:bookmarkEnd w:id="75"/>
      <w:bookmarkEnd w:id="76"/>
      <w:bookmarkEnd w:id="77"/>
      <w:bookmarkEnd w:id="78"/>
    </w:p>
    <w:p>
      <w:pPr>
        <w:spacing w:line="400" w:lineRule="exact"/>
        <w:ind w:firstLine="420" w:firstLineChars="200"/>
        <w:outlineLvl w:val="3"/>
        <w:rPr>
          <w:rFonts w:ascii="宋体" w:cs="宋体"/>
          <w:bCs/>
        </w:rPr>
      </w:pPr>
      <w:r>
        <w:rPr>
          <w:rFonts w:hint="eastAsia" w:ascii="宋体" w:cs="宋体"/>
          <w:bCs/>
        </w:rPr>
        <w:t>4.1.1投标文件应密封要求：见投标人须知前附表的规定。</w:t>
      </w:r>
    </w:p>
    <w:p>
      <w:pPr>
        <w:spacing w:line="400" w:lineRule="exact"/>
        <w:ind w:firstLine="420" w:firstLineChars="200"/>
        <w:outlineLvl w:val="3"/>
        <w:rPr>
          <w:rFonts w:ascii="宋体" w:cs="宋体"/>
          <w:bCs/>
        </w:rPr>
      </w:pPr>
      <w:r>
        <w:rPr>
          <w:rFonts w:hint="eastAsia" w:ascii="宋体" w:cs="宋体"/>
          <w:bCs/>
        </w:rPr>
        <w:t>4.1.2 未按本章第4.1.1项要求密封和加写标记的投标文件，招标人不予受理或评标委员会否决其投标。</w:t>
      </w:r>
    </w:p>
    <w:p>
      <w:pPr>
        <w:pStyle w:val="113"/>
        <w:spacing w:line="360" w:lineRule="exact"/>
        <w:rPr>
          <w:rFonts w:ascii="宋体" w:hAnsi="宋体" w:eastAsia="宋体"/>
          <w:b/>
          <w:bCs/>
          <w:sz w:val="21"/>
          <w:szCs w:val="21"/>
        </w:rPr>
      </w:pPr>
      <w:bookmarkStart w:id="79" w:name="_Toc361338262"/>
      <w:bookmarkStart w:id="80" w:name="_Toc152045557"/>
      <w:bookmarkStart w:id="81" w:name="_Toc152042333"/>
      <w:bookmarkStart w:id="82" w:name="_Toc144974525"/>
      <w:r>
        <w:rPr>
          <w:rFonts w:ascii="宋体" w:hAnsi="宋体" w:eastAsia="宋体" w:cs="仿宋_GB2312"/>
          <w:b/>
          <w:bCs/>
          <w:sz w:val="21"/>
          <w:szCs w:val="21"/>
        </w:rPr>
        <w:t xml:space="preserve">4.2 </w:t>
      </w:r>
      <w:r>
        <w:rPr>
          <w:rFonts w:hint="eastAsia" w:ascii="宋体" w:hAnsi="宋体" w:eastAsia="宋体" w:cs="仿宋_GB2312"/>
          <w:b/>
          <w:bCs/>
          <w:sz w:val="21"/>
          <w:szCs w:val="21"/>
        </w:rPr>
        <w:t>投标文件的递交</w:t>
      </w:r>
      <w:bookmarkEnd w:id="79"/>
      <w:bookmarkEnd w:id="80"/>
      <w:bookmarkEnd w:id="81"/>
      <w:bookmarkEnd w:id="82"/>
    </w:p>
    <w:p>
      <w:pPr>
        <w:spacing w:line="400" w:lineRule="exact"/>
        <w:ind w:firstLine="420" w:firstLineChars="200"/>
        <w:outlineLvl w:val="3"/>
        <w:rPr>
          <w:rFonts w:ascii="宋体" w:cs="宋体"/>
          <w:bCs/>
        </w:rPr>
      </w:pPr>
      <w:bookmarkStart w:id="83" w:name="_Toc152042334"/>
      <w:bookmarkStart w:id="84" w:name="_Toc361338263"/>
      <w:bookmarkStart w:id="85" w:name="_Toc152045558"/>
      <w:bookmarkStart w:id="86" w:name="_Toc144974526"/>
      <w:r>
        <w:rPr>
          <w:rFonts w:hint="eastAsia" w:ascii="宋体" w:cs="宋体"/>
          <w:bCs/>
        </w:rPr>
        <w:t>4.2.1 投标人递交投标文件截止时间：见投标人须知前附表。</w:t>
      </w:r>
    </w:p>
    <w:p>
      <w:pPr>
        <w:spacing w:line="400" w:lineRule="exact"/>
        <w:ind w:firstLine="420" w:firstLineChars="200"/>
        <w:outlineLvl w:val="3"/>
        <w:rPr>
          <w:rFonts w:ascii="宋体" w:cs="宋体"/>
          <w:bCs/>
        </w:rPr>
      </w:pPr>
      <w:r>
        <w:rPr>
          <w:rFonts w:hint="eastAsia" w:ascii="宋体" w:cs="宋体"/>
          <w:bCs/>
        </w:rPr>
        <w:t>4.2.2 投标人递交投标文件的地点：见投标人须知前附表。</w:t>
      </w:r>
    </w:p>
    <w:p>
      <w:pPr>
        <w:spacing w:line="400" w:lineRule="exact"/>
        <w:ind w:firstLine="420" w:firstLineChars="200"/>
        <w:outlineLvl w:val="3"/>
        <w:rPr>
          <w:rFonts w:ascii="宋体" w:cs="宋体"/>
          <w:bCs/>
        </w:rPr>
      </w:pPr>
      <w:r>
        <w:rPr>
          <w:rFonts w:hint="eastAsia" w:ascii="宋体" w:cs="宋体"/>
          <w:bCs/>
        </w:rPr>
        <w:t>4.2.3 除投标人须知前附表另有规定外，投标人所递交的投标文件不予退还。</w:t>
      </w:r>
    </w:p>
    <w:p>
      <w:pPr>
        <w:spacing w:line="400" w:lineRule="exact"/>
        <w:ind w:firstLine="420" w:firstLineChars="200"/>
        <w:outlineLvl w:val="3"/>
        <w:rPr>
          <w:rFonts w:ascii="宋体" w:cs="宋体"/>
          <w:bCs/>
        </w:rPr>
      </w:pPr>
      <w:r>
        <w:rPr>
          <w:rFonts w:hint="eastAsia" w:ascii="宋体" w:cs="宋体"/>
          <w:bCs/>
        </w:rPr>
        <w:t>4.2.4投标人递交投标文件后，由该项目的法定代表人或其委托代理人在投标文件递交确认书上签字确认。</w:t>
      </w:r>
    </w:p>
    <w:p>
      <w:pPr>
        <w:spacing w:line="400" w:lineRule="exact"/>
        <w:ind w:firstLine="420" w:firstLineChars="200"/>
        <w:outlineLvl w:val="3"/>
        <w:rPr>
          <w:rFonts w:ascii="宋体" w:cs="宋体"/>
          <w:bCs/>
        </w:rPr>
      </w:pPr>
      <w:r>
        <w:rPr>
          <w:rFonts w:hint="eastAsia" w:ascii="宋体" w:cs="宋体"/>
          <w:bCs/>
        </w:rPr>
        <w:t>4.2.5逾期送达的或者未送达指定地点的投标文件，招标人不予受理。</w:t>
      </w:r>
    </w:p>
    <w:p>
      <w:pPr>
        <w:pStyle w:val="113"/>
        <w:spacing w:line="360" w:lineRule="exact"/>
        <w:rPr>
          <w:rFonts w:ascii="宋体" w:hAnsi="宋体" w:eastAsia="宋体"/>
          <w:b/>
          <w:bCs/>
          <w:sz w:val="21"/>
          <w:szCs w:val="21"/>
        </w:rPr>
      </w:pPr>
      <w:r>
        <w:rPr>
          <w:rFonts w:ascii="宋体" w:hAnsi="宋体" w:eastAsia="宋体" w:cs="仿宋_GB2312"/>
          <w:b/>
          <w:bCs/>
          <w:sz w:val="21"/>
          <w:szCs w:val="21"/>
        </w:rPr>
        <w:t xml:space="preserve">4.3 </w:t>
      </w:r>
      <w:r>
        <w:rPr>
          <w:rFonts w:hint="eastAsia" w:ascii="宋体" w:hAnsi="宋体" w:eastAsia="宋体" w:cs="仿宋_GB2312"/>
          <w:b/>
          <w:bCs/>
          <w:sz w:val="21"/>
          <w:szCs w:val="21"/>
        </w:rPr>
        <w:t>投标文件的修改与撤回</w:t>
      </w:r>
      <w:bookmarkEnd w:id="83"/>
      <w:bookmarkEnd w:id="84"/>
      <w:bookmarkEnd w:id="85"/>
      <w:bookmarkEnd w:id="86"/>
    </w:p>
    <w:p>
      <w:pPr>
        <w:spacing w:line="400" w:lineRule="exact"/>
        <w:ind w:firstLine="420" w:firstLineChars="200"/>
        <w:outlineLvl w:val="3"/>
        <w:rPr>
          <w:rFonts w:ascii="宋体" w:cs="宋体"/>
          <w:bCs/>
        </w:rPr>
      </w:pPr>
      <w:r>
        <w:rPr>
          <w:rFonts w:hint="eastAsia" w:ascii="宋体" w:cs="宋体"/>
          <w:bCs/>
        </w:rPr>
        <w:t>4.3.1 在本章第4.2.1项规定的投标截止时间前，投标人可以修改或撤回已递交的投标文件，但应以书面形式通知招标人。</w:t>
      </w:r>
    </w:p>
    <w:p>
      <w:pPr>
        <w:spacing w:line="400" w:lineRule="exact"/>
        <w:ind w:firstLine="420" w:firstLineChars="200"/>
        <w:outlineLvl w:val="3"/>
        <w:rPr>
          <w:rFonts w:ascii="宋体" w:cs="宋体"/>
          <w:bCs/>
        </w:rPr>
      </w:pPr>
      <w:r>
        <w:rPr>
          <w:rFonts w:hint="eastAsia" w:ascii="宋体" w:cs="宋体"/>
          <w:bCs/>
        </w:rPr>
        <w:t>4.3.2 投标人修改或撤回已递交投标文件的书面通知应按照本章第3.5.3项的要求签字和盖章。招标人收到书面通知后，向投标人出具签收凭证。</w:t>
      </w:r>
    </w:p>
    <w:p>
      <w:pPr>
        <w:spacing w:line="400" w:lineRule="exact"/>
        <w:ind w:firstLine="420" w:firstLineChars="200"/>
        <w:outlineLvl w:val="3"/>
        <w:rPr>
          <w:rFonts w:ascii="宋体" w:cs="宋体"/>
          <w:bCs/>
        </w:rPr>
      </w:pPr>
      <w:r>
        <w:rPr>
          <w:rFonts w:hint="eastAsia" w:ascii="宋体" w:cs="宋体"/>
          <w:bCs/>
        </w:rPr>
        <w:t>4.3.3 修改的内容为投标文件的组成部分。修改的投标文件应按照本章第3条、第4条规定进行编制、密封、标记和递交，并标明“修改”字样。</w:t>
      </w:r>
    </w:p>
    <w:p>
      <w:pPr>
        <w:pStyle w:val="113"/>
        <w:spacing w:line="360" w:lineRule="exact"/>
        <w:rPr>
          <w:rFonts w:ascii="宋体" w:hAnsi="宋体" w:eastAsia="宋体"/>
          <w:b/>
          <w:bCs/>
          <w:sz w:val="21"/>
          <w:szCs w:val="21"/>
        </w:rPr>
      </w:pPr>
      <w:bookmarkStart w:id="87" w:name="_Toc361338264"/>
      <w:bookmarkStart w:id="88" w:name="_Toc152045559"/>
      <w:bookmarkStart w:id="89" w:name="_Toc144974527"/>
      <w:bookmarkStart w:id="90" w:name="_Toc152042335"/>
      <w:r>
        <w:rPr>
          <w:rFonts w:ascii="宋体" w:hAnsi="宋体" w:eastAsia="宋体" w:cs="仿宋_GB2312"/>
          <w:b/>
          <w:bCs/>
          <w:sz w:val="21"/>
          <w:szCs w:val="21"/>
        </w:rPr>
        <w:t xml:space="preserve">5. </w:t>
      </w:r>
      <w:r>
        <w:rPr>
          <w:rFonts w:hint="eastAsia" w:ascii="宋体" w:hAnsi="宋体" w:eastAsia="宋体" w:cs="仿宋_GB2312"/>
          <w:b/>
          <w:bCs/>
          <w:sz w:val="21"/>
          <w:szCs w:val="21"/>
        </w:rPr>
        <w:t>开标</w:t>
      </w:r>
      <w:bookmarkEnd w:id="87"/>
      <w:bookmarkEnd w:id="88"/>
      <w:bookmarkEnd w:id="89"/>
      <w:bookmarkEnd w:id="90"/>
    </w:p>
    <w:p>
      <w:pPr>
        <w:pStyle w:val="113"/>
        <w:spacing w:line="360" w:lineRule="exact"/>
        <w:rPr>
          <w:rFonts w:ascii="宋体" w:hAnsi="宋体" w:eastAsia="宋体"/>
          <w:b/>
          <w:bCs/>
          <w:sz w:val="21"/>
          <w:szCs w:val="21"/>
        </w:rPr>
      </w:pPr>
      <w:bookmarkStart w:id="91" w:name="_Toc152042336"/>
      <w:bookmarkStart w:id="92" w:name="_Toc152045560"/>
      <w:bookmarkStart w:id="93" w:name="_Toc144974528"/>
      <w:bookmarkStart w:id="94" w:name="_Toc361338265"/>
      <w:r>
        <w:rPr>
          <w:rFonts w:ascii="宋体" w:hAnsi="宋体" w:eastAsia="宋体" w:cs="仿宋_GB2312"/>
          <w:b/>
          <w:bCs/>
          <w:sz w:val="21"/>
          <w:szCs w:val="21"/>
        </w:rPr>
        <w:t xml:space="preserve">5.1 </w:t>
      </w:r>
      <w:r>
        <w:rPr>
          <w:rFonts w:hint="eastAsia" w:ascii="宋体" w:hAnsi="宋体" w:eastAsia="宋体" w:cs="仿宋_GB2312"/>
          <w:b/>
          <w:bCs/>
          <w:sz w:val="21"/>
          <w:szCs w:val="21"/>
        </w:rPr>
        <w:t>开标时间和地点</w:t>
      </w:r>
      <w:bookmarkEnd w:id="91"/>
      <w:bookmarkEnd w:id="92"/>
      <w:bookmarkEnd w:id="93"/>
      <w:bookmarkEnd w:id="94"/>
    </w:p>
    <w:p>
      <w:pPr>
        <w:spacing w:line="400" w:lineRule="exact"/>
        <w:ind w:firstLine="420" w:firstLineChars="200"/>
        <w:rPr>
          <w:rFonts w:ascii="宋体" w:hAnsi="宋体"/>
        </w:rPr>
      </w:pPr>
      <w:bookmarkStart w:id="95" w:name="_Toc361338266"/>
      <w:bookmarkStart w:id="96" w:name="_Toc152042337"/>
      <w:bookmarkStart w:id="97" w:name="_Toc144974529"/>
      <w:bookmarkStart w:id="98" w:name="_Toc152045561"/>
      <w:r>
        <w:rPr>
          <w:rFonts w:hint="eastAsia" w:ascii="宋体" w:cs="宋体"/>
          <w:bCs/>
        </w:rPr>
        <w:t>招标人在本章第4.2.1项规定的投标截止时间（开标时间）和投标人须知前附表规定的地点公开开标，并邀请所有投标人的法定代表人或其委托代理人准时参加。招标人在投标截止时间前收到的投标文件不少于3家，应按时开标。</w:t>
      </w:r>
    </w:p>
    <w:p>
      <w:pPr>
        <w:pStyle w:val="113"/>
        <w:spacing w:line="360" w:lineRule="exact"/>
        <w:rPr>
          <w:rFonts w:ascii="宋体" w:hAnsi="宋体" w:eastAsia="宋体"/>
          <w:b/>
          <w:bCs/>
          <w:sz w:val="21"/>
          <w:szCs w:val="21"/>
        </w:rPr>
      </w:pPr>
      <w:r>
        <w:rPr>
          <w:rFonts w:ascii="宋体" w:hAnsi="宋体" w:eastAsia="宋体" w:cs="仿宋_GB2312"/>
          <w:b/>
          <w:bCs/>
          <w:sz w:val="21"/>
          <w:szCs w:val="21"/>
        </w:rPr>
        <w:t xml:space="preserve">5.2 </w:t>
      </w:r>
      <w:r>
        <w:rPr>
          <w:rFonts w:hint="eastAsia" w:ascii="宋体" w:hAnsi="宋体" w:eastAsia="宋体" w:cs="仿宋_GB2312"/>
          <w:b/>
          <w:bCs/>
          <w:sz w:val="21"/>
          <w:szCs w:val="21"/>
        </w:rPr>
        <w:t>开标程序</w:t>
      </w:r>
      <w:bookmarkEnd w:id="95"/>
      <w:bookmarkEnd w:id="96"/>
      <w:bookmarkEnd w:id="97"/>
      <w:bookmarkEnd w:id="98"/>
    </w:p>
    <w:p>
      <w:pPr>
        <w:spacing w:line="400" w:lineRule="exact"/>
        <w:ind w:firstLine="420" w:firstLineChars="200"/>
        <w:outlineLvl w:val="3"/>
        <w:rPr>
          <w:rFonts w:ascii="宋体" w:cs="宋体"/>
          <w:bCs/>
        </w:rPr>
      </w:pPr>
      <w:r>
        <w:rPr>
          <w:rFonts w:hint="eastAsia" w:ascii="宋体" w:cs="宋体"/>
          <w:bCs/>
        </w:rPr>
        <w:t>5.2.1开标会议由招标人主持。</w:t>
      </w:r>
    </w:p>
    <w:p>
      <w:pPr>
        <w:spacing w:line="400" w:lineRule="exact"/>
        <w:ind w:firstLine="420" w:firstLineChars="200"/>
        <w:rPr>
          <w:rFonts w:ascii="宋体" w:cs="宋体"/>
          <w:bCs/>
        </w:rPr>
      </w:pPr>
      <w:r>
        <w:rPr>
          <w:rFonts w:hint="eastAsia" w:ascii="宋体" w:cs="宋体"/>
          <w:bCs/>
        </w:rPr>
        <w:t xml:space="preserve"> 主持人按下列程序进行开标：</w:t>
      </w:r>
    </w:p>
    <w:p>
      <w:pPr>
        <w:spacing w:line="400" w:lineRule="exact"/>
        <w:rPr>
          <w:rFonts w:ascii="宋体" w:cs="宋体"/>
          <w:bCs/>
        </w:rPr>
      </w:pPr>
      <w:r>
        <w:rPr>
          <w:rFonts w:hint="eastAsia" w:ascii="宋体" w:cs="宋体"/>
          <w:bCs/>
        </w:rPr>
        <w:t xml:space="preserve">   （l）公布在投标截止时间前递交投标文件的投标人名称；</w:t>
      </w:r>
    </w:p>
    <w:p>
      <w:pPr>
        <w:spacing w:line="400" w:lineRule="exact"/>
        <w:rPr>
          <w:rFonts w:ascii="宋体" w:cs="宋体"/>
          <w:bCs/>
        </w:rPr>
      </w:pPr>
      <w:r>
        <w:rPr>
          <w:rFonts w:hint="eastAsia" w:ascii="宋体" w:cs="宋体"/>
          <w:bCs/>
        </w:rPr>
        <w:t xml:space="preserve">   （2）宣布开标纪律；</w:t>
      </w:r>
    </w:p>
    <w:p>
      <w:pPr>
        <w:spacing w:line="400" w:lineRule="exact"/>
        <w:rPr>
          <w:rFonts w:ascii="宋体" w:cs="宋体"/>
          <w:bCs/>
        </w:rPr>
      </w:pPr>
      <w:r>
        <w:rPr>
          <w:rFonts w:hint="eastAsia" w:ascii="宋体" w:cs="宋体"/>
          <w:bCs/>
        </w:rPr>
        <w:t xml:space="preserve">   （3）宣布招标人、唱标人、记录人、监标人（监督人员和监察人员）等有关人员；</w:t>
      </w:r>
    </w:p>
    <w:p>
      <w:pPr>
        <w:spacing w:line="400" w:lineRule="exact"/>
        <w:rPr>
          <w:rFonts w:ascii="宋体" w:cs="宋体"/>
          <w:bCs/>
        </w:rPr>
      </w:pPr>
      <w:r>
        <w:rPr>
          <w:rFonts w:hint="eastAsia" w:ascii="宋体" w:cs="宋体"/>
          <w:bCs/>
        </w:rPr>
        <w:t xml:space="preserve">   （4）按照投标人须知规定检查投标文件的密封情况；</w:t>
      </w:r>
    </w:p>
    <w:p>
      <w:pPr>
        <w:spacing w:line="400" w:lineRule="exact"/>
        <w:rPr>
          <w:rFonts w:ascii="宋体" w:cs="宋体"/>
          <w:bCs/>
        </w:rPr>
      </w:pPr>
      <w:r>
        <w:rPr>
          <w:rFonts w:hint="eastAsia" w:ascii="宋体" w:cs="宋体"/>
          <w:bCs/>
        </w:rPr>
        <w:t xml:space="preserve">   （5）按照投标文件递交时间的逆顺序当众开标，公布投标人名称、承销费费率报价、发行利率区间、等投标函主要内容，并现场记录；</w:t>
      </w:r>
    </w:p>
    <w:p>
      <w:pPr>
        <w:spacing w:line="400" w:lineRule="exact"/>
        <w:rPr>
          <w:rFonts w:ascii="宋体" w:cs="宋体"/>
          <w:bCs/>
        </w:rPr>
      </w:pPr>
      <w:r>
        <w:rPr>
          <w:rFonts w:hint="eastAsia" w:ascii="宋体" w:cs="宋体"/>
          <w:bCs/>
        </w:rPr>
        <w:t xml:space="preserve">   （6）投标人代表、招标人、记录人等有关人员在开标记录上签字确认；</w:t>
      </w:r>
    </w:p>
    <w:p>
      <w:pPr>
        <w:spacing w:line="400" w:lineRule="exact"/>
        <w:rPr>
          <w:rFonts w:ascii="宋体" w:cs="宋体"/>
          <w:bCs/>
        </w:rPr>
      </w:pPr>
      <w:r>
        <w:rPr>
          <w:rFonts w:hint="eastAsia" w:ascii="宋体" w:cs="宋体"/>
          <w:bCs/>
        </w:rPr>
        <w:t xml:space="preserve">   （7）征询各投标人对开标过程有无异议，如有异议可现场书面（委托代理人签字）提出，如无异议，则后期针对开标过程的异议和投诉不予受理；</w:t>
      </w:r>
    </w:p>
    <w:p>
      <w:pPr>
        <w:spacing w:line="400" w:lineRule="exact"/>
        <w:rPr>
          <w:rFonts w:ascii="宋体" w:cs="宋体"/>
          <w:bCs/>
        </w:rPr>
      </w:pPr>
      <w:r>
        <w:rPr>
          <w:rFonts w:hint="eastAsia" w:ascii="宋体" w:cs="宋体"/>
          <w:bCs/>
        </w:rPr>
        <w:t xml:space="preserve">   （8）开标结束。   </w:t>
      </w:r>
    </w:p>
    <w:p>
      <w:pPr>
        <w:spacing w:line="360" w:lineRule="auto"/>
        <w:ind w:firstLine="412" w:firstLineChars="196"/>
        <w:rPr>
          <w:rFonts w:ascii="宋体" w:hAnsi="宋体"/>
        </w:rPr>
      </w:pPr>
      <w:r>
        <w:rPr>
          <w:rFonts w:hint="eastAsia" w:ascii="宋体" w:cs="宋体"/>
          <w:bCs/>
        </w:rPr>
        <w:t>5.2.2投标人参加开标会的要求,见投标人须知前附表。</w:t>
      </w:r>
    </w:p>
    <w:p>
      <w:pPr>
        <w:pStyle w:val="113"/>
        <w:spacing w:line="360" w:lineRule="exact"/>
        <w:rPr>
          <w:rFonts w:ascii="宋体" w:hAnsi="宋体" w:eastAsia="宋体"/>
          <w:b/>
          <w:bCs/>
          <w:sz w:val="21"/>
          <w:szCs w:val="21"/>
        </w:rPr>
      </w:pPr>
      <w:bookmarkStart w:id="99" w:name="_Toc152045562"/>
      <w:bookmarkStart w:id="100" w:name="_Toc144974530"/>
      <w:bookmarkStart w:id="101" w:name="_Toc361338268"/>
      <w:bookmarkStart w:id="102" w:name="_Toc152042338"/>
      <w:r>
        <w:rPr>
          <w:rFonts w:ascii="宋体" w:hAnsi="宋体" w:eastAsia="宋体" w:cs="仿宋_GB2312"/>
          <w:b/>
          <w:bCs/>
          <w:sz w:val="21"/>
          <w:szCs w:val="21"/>
        </w:rPr>
        <w:t xml:space="preserve">6. </w:t>
      </w:r>
      <w:r>
        <w:rPr>
          <w:rFonts w:hint="eastAsia" w:ascii="宋体" w:hAnsi="宋体" w:eastAsia="宋体" w:cs="仿宋_GB2312"/>
          <w:b/>
          <w:bCs/>
          <w:sz w:val="21"/>
          <w:szCs w:val="21"/>
        </w:rPr>
        <w:t>评标</w:t>
      </w:r>
      <w:bookmarkEnd w:id="99"/>
      <w:bookmarkEnd w:id="100"/>
      <w:bookmarkEnd w:id="101"/>
      <w:bookmarkEnd w:id="102"/>
    </w:p>
    <w:p>
      <w:pPr>
        <w:pStyle w:val="113"/>
        <w:spacing w:line="360" w:lineRule="exact"/>
        <w:rPr>
          <w:rFonts w:ascii="宋体" w:hAnsi="宋体" w:eastAsia="宋体"/>
          <w:b/>
          <w:bCs/>
          <w:sz w:val="21"/>
          <w:szCs w:val="21"/>
        </w:rPr>
      </w:pPr>
      <w:bookmarkStart w:id="103" w:name="_Toc361338269"/>
      <w:bookmarkStart w:id="104" w:name="_Toc144974531"/>
      <w:bookmarkStart w:id="105" w:name="_Toc152045563"/>
      <w:bookmarkStart w:id="106" w:name="_Toc152042339"/>
      <w:r>
        <w:rPr>
          <w:rFonts w:ascii="宋体" w:hAnsi="宋体" w:eastAsia="宋体" w:cs="仿宋_GB2312"/>
          <w:b/>
          <w:bCs/>
          <w:sz w:val="21"/>
          <w:szCs w:val="21"/>
        </w:rPr>
        <w:t xml:space="preserve">6.1 </w:t>
      </w:r>
      <w:r>
        <w:rPr>
          <w:rFonts w:hint="eastAsia" w:ascii="宋体" w:hAnsi="宋体" w:eastAsia="宋体" w:cs="仿宋_GB2312"/>
          <w:b/>
          <w:bCs/>
          <w:sz w:val="21"/>
          <w:szCs w:val="21"/>
        </w:rPr>
        <w:t>评标委员会</w:t>
      </w:r>
      <w:bookmarkEnd w:id="103"/>
      <w:bookmarkEnd w:id="104"/>
      <w:bookmarkEnd w:id="105"/>
      <w:bookmarkEnd w:id="106"/>
    </w:p>
    <w:p>
      <w:pPr>
        <w:spacing w:line="400" w:lineRule="exact"/>
        <w:ind w:firstLine="420" w:firstLineChars="200"/>
        <w:outlineLvl w:val="4"/>
        <w:rPr>
          <w:rFonts w:ascii="宋体" w:cs="宋体"/>
          <w:bCs/>
        </w:rPr>
      </w:pPr>
      <w:bookmarkStart w:id="107" w:name="_Toc152042340"/>
      <w:bookmarkStart w:id="108" w:name="_Toc144974532"/>
      <w:bookmarkStart w:id="109" w:name="_Toc361338270"/>
      <w:bookmarkStart w:id="110" w:name="_Toc152045564"/>
      <w:r>
        <w:rPr>
          <w:rFonts w:hint="eastAsia" w:ascii="宋体" w:cs="宋体"/>
          <w:bCs/>
        </w:rPr>
        <w:t>6.1.1评标由招标人依法组建的评标委员会负责。成员人数为五人及以上单数组成,由招标人在有关监督部门的监督下，从评标专家库中随机抽取。评标委员会成员的名单在中标结果确定前应当保密。</w:t>
      </w:r>
    </w:p>
    <w:p>
      <w:pPr>
        <w:spacing w:line="400" w:lineRule="exact"/>
        <w:ind w:firstLine="420" w:firstLineChars="200"/>
        <w:outlineLvl w:val="3"/>
        <w:rPr>
          <w:rFonts w:ascii="宋体" w:cs="宋体"/>
          <w:bCs/>
        </w:rPr>
      </w:pPr>
      <w:r>
        <w:rPr>
          <w:rFonts w:hint="eastAsia" w:ascii="宋体" w:cs="宋体"/>
          <w:bCs/>
        </w:rPr>
        <w:t>6.1.2 评标委员会成员有下列情形之一的，应当回避：</w:t>
      </w:r>
    </w:p>
    <w:p>
      <w:pPr>
        <w:spacing w:line="400" w:lineRule="exact"/>
        <w:ind w:firstLine="420" w:firstLineChars="200"/>
        <w:outlineLvl w:val="4"/>
        <w:rPr>
          <w:rFonts w:ascii="宋体" w:cs="宋体"/>
          <w:bCs/>
        </w:rPr>
      </w:pPr>
      <w:r>
        <w:rPr>
          <w:rFonts w:hint="eastAsia" w:ascii="宋体" w:cs="宋体"/>
          <w:bCs/>
        </w:rPr>
        <w:t>（1）招标人或投标人的主要负责人的近亲属；</w:t>
      </w:r>
    </w:p>
    <w:p>
      <w:pPr>
        <w:spacing w:line="400" w:lineRule="exact"/>
        <w:ind w:firstLine="420" w:firstLineChars="200"/>
        <w:outlineLvl w:val="4"/>
        <w:rPr>
          <w:rFonts w:ascii="宋体" w:cs="宋体"/>
          <w:bCs/>
        </w:rPr>
      </w:pPr>
      <w:r>
        <w:rPr>
          <w:rFonts w:hint="eastAsia" w:ascii="宋体" w:cs="宋体"/>
          <w:bCs/>
        </w:rPr>
        <w:t>（2）项目主管部门或者行政监督部门的人员；</w:t>
      </w:r>
    </w:p>
    <w:p>
      <w:pPr>
        <w:spacing w:line="400" w:lineRule="exact"/>
        <w:ind w:firstLine="420" w:firstLineChars="200"/>
        <w:outlineLvl w:val="4"/>
        <w:rPr>
          <w:rFonts w:ascii="宋体" w:cs="宋体"/>
          <w:bCs/>
        </w:rPr>
      </w:pPr>
      <w:r>
        <w:rPr>
          <w:rFonts w:hint="eastAsia" w:ascii="宋体" w:cs="宋体"/>
          <w:bCs/>
        </w:rPr>
        <w:t>（3）与投标人有经济利益关系，可能影响对投标公正评审的；</w:t>
      </w:r>
    </w:p>
    <w:p>
      <w:pPr>
        <w:spacing w:line="400" w:lineRule="exact"/>
        <w:ind w:firstLine="420" w:firstLineChars="200"/>
        <w:outlineLvl w:val="4"/>
        <w:rPr>
          <w:rFonts w:ascii="宋体" w:cs="宋体"/>
          <w:bCs/>
        </w:rPr>
      </w:pPr>
      <w:r>
        <w:rPr>
          <w:rFonts w:hint="eastAsia" w:ascii="宋体" w:cs="宋体"/>
          <w:bCs/>
        </w:rPr>
        <w:t>（4）曾因在招标、评标以及其他与招标投标有关活动中从事违法行为而受过行政处罚或刑事处罚的。</w:t>
      </w:r>
    </w:p>
    <w:p>
      <w:pPr>
        <w:pStyle w:val="113"/>
        <w:spacing w:line="360" w:lineRule="exact"/>
        <w:rPr>
          <w:rFonts w:ascii="宋体" w:hAnsi="宋体" w:eastAsia="宋体"/>
          <w:b/>
          <w:bCs/>
          <w:sz w:val="21"/>
          <w:szCs w:val="21"/>
        </w:rPr>
      </w:pPr>
      <w:r>
        <w:rPr>
          <w:rFonts w:ascii="宋体" w:hAnsi="宋体" w:eastAsia="宋体" w:cs="仿宋_GB2312"/>
          <w:b/>
          <w:bCs/>
          <w:sz w:val="21"/>
          <w:szCs w:val="21"/>
        </w:rPr>
        <w:t xml:space="preserve">6.2 </w:t>
      </w:r>
      <w:r>
        <w:rPr>
          <w:rFonts w:hint="eastAsia" w:ascii="宋体" w:hAnsi="宋体" w:eastAsia="宋体" w:cs="仿宋_GB2312"/>
          <w:b/>
          <w:bCs/>
          <w:sz w:val="21"/>
          <w:szCs w:val="21"/>
        </w:rPr>
        <w:t>评标原则</w:t>
      </w:r>
      <w:bookmarkEnd w:id="107"/>
      <w:bookmarkEnd w:id="108"/>
      <w:bookmarkEnd w:id="109"/>
      <w:bookmarkEnd w:id="110"/>
      <w:r>
        <w:rPr>
          <w:rFonts w:ascii="宋体" w:hAnsi="宋体" w:eastAsia="宋体"/>
          <w:b/>
          <w:bCs/>
          <w:sz w:val="21"/>
          <w:szCs w:val="21"/>
        </w:rPr>
        <w:tab/>
      </w:r>
    </w:p>
    <w:p>
      <w:pPr>
        <w:spacing w:line="400" w:lineRule="exact"/>
        <w:ind w:firstLine="420" w:firstLineChars="200"/>
        <w:outlineLvl w:val="3"/>
        <w:rPr>
          <w:rFonts w:ascii="宋体" w:cs="宋体"/>
          <w:bCs/>
        </w:rPr>
      </w:pPr>
      <w:r>
        <w:rPr>
          <w:rFonts w:hint="eastAsia" w:ascii="宋体" w:cs="宋体"/>
          <w:bCs/>
        </w:rPr>
        <w:t>评标活动遵循公平、公正、科学和择优的原则。</w:t>
      </w:r>
    </w:p>
    <w:p>
      <w:pPr>
        <w:pStyle w:val="113"/>
        <w:spacing w:line="360" w:lineRule="exact"/>
        <w:rPr>
          <w:rFonts w:ascii="宋体" w:hAnsi="宋体" w:eastAsia="宋体"/>
          <w:b/>
          <w:bCs/>
          <w:sz w:val="21"/>
          <w:szCs w:val="21"/>
        </w:rPr>
      </w:pPr>
      <w:bookmarkStart w:id="111" w:name="_Toc144974533"/>
      <w:bookmarkStart w:id="112" w:name="_Toc361338271"/>
      <w:bookmarkStart w:id="113" w:name="_Toc152042341"/>
      <w:bookmarkStart w:id="114" w:name="_Toc152045565"/>
      <w:r>
        <w:rPr>
          <w:rFonts w:ascii="宋体" w:hAnsi="宋体" w:eastAsia="宋体" w:cs="仿宋_GB2312"/>
          <w:b/>
          <w:bCs/>
          <w:sz w:val="21"/>
          <w:szCs w:val="21"/>
        </w:rPr>
        <w:t xml:space="preserve">6.3 </w:t>
      </w:r>
      <w:r>
        <w:rPr>
          <w:rFonts w:hint="eastAsia" w:ascii="宋体" w:hAnsi="宋体" w:eastAsia="宋体" w:cs="仿宋_GB2312"/>
          <w:b/>
          <w:bCs/>
          <w:sz w:val="21"/>
          <w:szCs w:val="21"/>
        </w:rPr>
        <w:t>评标</w:t>
      </w:r>
      <w:bookmarkEnd w:id="111"/>
      <w:bookmarkEnd w:id="112"/>
      <w:bookmarkEnd w:id="113"/>
      <w:bookmarkEnd w:id="114"/>
    </w:p>
    <w:p>
      <w:pPr>
        <w:spacing w:line="360" w:lineRule="exact"/>
        <w:ind w:firstLine="420" w:firstLineChars="200"/>
        <w:rPr>
          <w:rFonts w:ascii="宋体" w:hAnsi="宋体"/>
        </w:rPr>
      </w:pPr>
      <w:r>
        <w:rPr>
          <w:rFonts w:hint="eastAsia" w:ascii="宋体" w:cs="宋体"/>
          <w:bCs/>
        </w:rPr>
        <w:t>评标委员会按照第四章“开标和评标”规定的方法、评审因素、标准和程序对投标文件进行评审。第四章“开标和评标”没有规定的方法、评审因素和标准，不作为评标依据。</w:t>
      </w:r>
    </w:p>
    <w:p>
      <w:pPr>
        <w:pStyle w:val="113"/>
        <w:spacing w:line="360" w:lineRule="exact"/>
        <w:rPr>
          <w:rFonts w:ascii="宋体" w:hAnsi="宋体" w:eastAsia="宋体"/>
          <w:b/>
          <w:bCs/>
          <w:sz w:val="21"/>
          <w:szCs w:val="21"/>
        </w:rPr>
      </w:pPr>
      <w:bookmarkStart w:id="115" w:name="_Toc152042342"/>
      <w:bookmarkStart w:id="116" w:name="_Toc144974534"/>
      <w:bookmarkStart w:id="117" w:name="_Toc152045566"/>
      <w:bookmarkStart w:id="118" w:name="_Toc361338272"/>
      <w:r>
        <w:rPr>
          <w:rFonts w:ascii="宋体" w:hAnsi="宋体" w:eastAsia="宋体" w:cs="仿宋_GB2312"/>
          <w:b/>
          <w:bCs/>
          <w:sz w:val="21"/>
          <w:szCs w:val="21"/>
        </w:rPr>
        <w:t xml:space="preserve">7. </w:t>
      </w:r>
      <w:r>
        <w:rPr>
          <w:rFonts w:hint="eastAsia" w:ascii="宋体" w:hAnsi="宋体" w:eastAsia="宋体" w:cs="仿宋_GB2312"/>
          <w:b/>
          <w:bCs/>
          <w:sz w:val="21"/>
          <w:szCs w:val="21"/>
        </w:rPr>
        <w:t>合同授予</w:t>
      </w:r>
      <w:bookmarkEnd w:id="115"/>
      <w:bookmarkEnd w:id="116"/>
      <w:bookmarkEnd w:id="117"/>
      <w:bookmarkEnd w:id="118"/>
    </w:p>
    <w:p>
      <w:pPr>
        <w:pStyle w:val="113"/>
        <w:spacing w:line="360" w:lineRule="exact"/>
        <w:rPr>
          <w:rFonts w:ascii="宋体" w:hAnsi="宋体" w:eastAsia="宋体"/>
          <w:b/>
          <w:bCs/>
          <w:sz w:val="21"/>
          <w:szCs w:val="21"/>
        </w:rPr>
      </w:pPr>
      <w:bookmarkStart w:id="119" w:name="_Toc361338274"/>
      <w:r>
        <w:rPr>
          <w:rFonts w:ascii="宋体" w:hAnsi="宋体" w:eastAsia="宋体" w:cs="仿宋_GB2312"/>
          <w:b/>
          <w:bCs/>
          <w:sz w:val="21"/>
          <w:szCs w:val="21"/>
        </w:rPr>
        <w:t>7.</w:t>
      </w:r>
      <w:r>
        <w:rPr>
          <w:rFonts w:hint="eastAsia" w:ascii="宋体" w:hAnsi="宋体" w:eastAsia="宋体" w:cs="仿宋_GB2312"/>
          <w:b/>
          <w:bCs/>
          <w:sz w:val="21"/>
          <w:szCs w:val="21"/>
        </w:rPr>
        <w:t>1</w:t>
      </w:r>
      <w:r>
        <w:rPr>
          <w:rFonts w:ascii="宋体" w:hAnsi="宋体" w:eastAsia="宋体" w:cs="仿宋_GB2312"/>
          <w:b/>
          <w:bCs/>
          <w:sz w:val="21"/>
          <w:szCs w:val="21"/>
        </w:rPr>
        <w:t xml:space="preserve"> </w:t>
      </w:r>
      <w:r>
        <w:rPr>
          <w:rFonts w:hint="eastAsia" w:ascii="宋体" w:hAnsi="宋体" w:eastAsia="宋体" w:cs="仿宋_GB2312"/>
          <w:b/>
          <w:bCs/>
          <w:sz w:val="21"/>
          <w:szCs w:val="21"/>
        </w:rPr>
        <w:t>中标公示</w:t>
      </w:r>
      <w:bookmarkEnd w:id="119"/>
    </w:p>
    <w:p>
      <w:pPr>
        <w:spacing w:line="400" w:lineRule="exact"/>
        <w:ind w:firstLine="420" w:firstLineChars="200"/>
        <w:outlineLvl w:val="3"/>
        <w:rPr>
          <w:rFonts w:ascii="宋体" w:cs="宋体"/>
          <w:bCs/>
        </w:rPr>
      </w:pPr>
      <w:r>
        <w:rPr>
          <w:rFonts w:hint="eastAsia" w:ascii="宋体" w:cs="宋体"/>
          <w:bCs/>
        </w:rPr>
        <w:t>在中标通知书发出前，招标人将中标候选人的情况予以公示，公示期不得少于3个工作日。投标人或者其他利害关系人对评标结果有异议的，应当在中标公示期间书面提出。招标人将在收到异议之日起3日内给予答复并制作记录。</w:t>
      </w:r>
    </w:p>
    <w:p>
      <w:pPr>
        <w:pStyle w:val="113"/>
        <w:spacing w:line="360" w:lineRule="exact"/>
        <w:rPr>
          <w:rFonts w:ascii="宋体" w:hAnsi="宋体" w:eastAsia="宋体"/>
          <w:b/>
          <w:bCs/>
          <w:sz w:val="21"/>
          <w:szCs w:val="21"/>
        </w:rPr>
      </w:pPr>
      <w:bookmarkStart w:id="120" w:name="_Toc361338275"/>
      <w:bookmarkStart w:id="121" w:name="_Toc152045568"/>
      <w:bookmarkStart w:id="122" w:name="_Toc152042344"/>
      <w:bookmarkStart w:id="123" w:name="_Toc144974536"/>
      <w:r>
        <w:rPr>
          <w:rFonts w:ascii="宋体" w:hAnsi="宋体" w:eastAsia="宋体" w:cs="仿宋_GB2312"/>
          <w:b/>
          <w:bCs/>
          <w:sz w:val="21"/>
          <w:szCs w:val="21"/>
        </w:rPr>
        <w:t>7.</w:t>
      </w:r>
      <w:r>
        <w:rPr>
          <w:rFonts w:hint="eastAsia" w:ascii="宋体" w:hAnsi="宋体" w:eastAsia="宋体" w:cs="仿宋_GB2312"/>
          <w:b/>
          <w:bCs/>
          <w:sz w:val="21"/>
          <w:szCs w:val="21"/>
        </w:rPr>
        <w:t>2</w:t>
      </w:r>
      <w:r>
        <w:rPr>
          <w:rFonts w:ascii="宋体" w:hAnsi="宋体" w:eastAsia="宋体" w:cs="仿宋_GB2312"/>
          <w:b/>
          <w:bCs/>
          <w:sz w:val="21"/>
          <w:szCs w:val="21"/>
        </w:rPr>
        <w:t xml:space="preserve"> </w:t>
      </w:r>
      <w:r>
        <w:rPr>
          <w:rFonts w:hint="eastAsia" w:ascii="宋体" w:hAnsi="宋体" w:eastAsia="宋体" w:cs="仿宋_GB2312"/>
          <w:b/>
          <w:bCs/>
          <w:sz w:val="21"/>
          <w:szCs w:val="21"/>
        </w:rPr>
        <w:t>中标通知</w:t>
      </w:r>
      <w:bookmarkEnd w:id="120"/>
      <w:bookmarkEnd w:id="121"/>
      <w:bookmarkEnd w:id="122"/>
      <w:bookmarkEnd w:id="123"/>
    </w:p>
    <w:p>
      <w:pPr>
        <w:spacing w:line="400" w:lineRule="exact"/>
        <w:outlineLvl w:val="3"/>
        <w:rPr>
          <w:rFonts w:ascii="宋体" w:cs="宋体"/>
          <w:bCs/>
        </w:rPr>
      </w:pPr>
      <w:bookmarkStart w:id="124" w:name="_Toc144974538"/>
      <w:bookmarkStart w:id="125" w:name="_Toc152042346"/>
      <w:bookmarkStart w:id="126" w:name="_Toc152045570"/>
      <w:r>
        <w:rPr>
          <w:rFonts w:hint="eastAsia" w:ascii="宋体" w:cs="宋体"/>
          <w:bCs/>
        </w:rPr>
        <w:t>7.2.1招标人在投标人须知前附表规定的媒介公示中标候选人，公示时间不少于3日。</w:t>
      </w:r>
    </w:p>
    <w:p>
      <w:pPr>
        <w:spacing w:line="400" w:lineRule="exact"/>
        <w:outlineLvl w:val="3"/>
        <w:rPr>
          <w:rFonts w:ascii="宋体" w:cs="宋体"/>
          <w:bCs/>
        </w:rPr>
      </w:pPr>
      <w:r>
        <w:rPr>
          <w:rFonts w:hint="eastAsia" w:ascii="宋体" w:cs="宋体"/>
          <w:bCs/>
        </w:rPr>
        <w:t>7.2.2招标人可在中标公示期满前到市检察院办理中标候选人的《行贿犯罪档案查询告知函》,如中标候选人有行贿、受贿等违法、犯罪问题，则取消其中标候选人资格。</w:t>
      </w:r>
    </w:p>
    <w:p>
      <w:pPr>
        <w:spacing w:line="400" w:lineRule="exact"/>
        <w:outlineLvl w:val="3"/>
        <w:rPr>
          <w:rFonts w:ascii="宋体" w:cs="宋体"/>
          <w:bCs/>
        </w:rPr>
      </w:pPr>
      <w:r>
        <w:rPr>
          <w:rFonts w:hint="eastAsia" w:ascii="宋体" w:cs="宋体"/>
          <w:bCs/>
        </w:rPr>
        <w:t xml:space="preserve"> 7.3.3在本章第3.3款规定的投标有效期内，招标人以书面形式向中标人发出中标通知书。</w:t>
      </w:r>
    </w:p>
    <w:p>
      <w:pPr>
        <w:pStyle w:val="113"/>
        <w:spacing w:line="360" w:lineRule="exact"/>
        <w:rPr>
          <w:rFonts w:ascii="宋体" w:hAnsi="宋体" w:eastAsia="宋体"/>
          <w:b/>
          <w:bCs/>
          <w:sz w:val="21"/>
          <w:szCs w:val="21"/>
        </w:rPr>
      </w:pPr>
      <w:r>
        <w:rPr>
          <w:rFonts w:ascii="宋体" w:hAnsi="宋体" w:eastAsia="宋体" w:cs="仿宋_GB2312"/>
          <w:b/>
          <w:bCs/>
          <w:sz w:val="21"/>
          <w:szCs w:val="21"/>
        </w:rPr>
        <w:t>7.</w:t>
      </w:r>
      <w:bookmarkStart w:id="127" w:name="_Toc361338276"/>
      <w:r>
        <w:rPr>
          <w:rFonts w:hint="eastAsia" w:ascii="宋体" w:hAnsi="宋体" w:eastAsia="宋体" w:cs="仿宋_GB2312"/>
          <w:b/>
          <w:bCs/>
          <w:sz w:val="21"/>
          <w:szCs w:val="21"/>
        </w:rPr>
        <w:t>3签订合同</w:t>
      </w:r>
      <w:bookmarkEnd w:id="124"/>
      <w:bookmarkEnd w:id="125"/>
      <w:bookmarkEnd w:id="126"/>
      <w:bookmarkEnd w:id="127"/>
    </w:p>
    <w:p>
      <w:pPr>
        <w:spacing w:line="400" w:lineRule="exact"/>
        <w:ind w:firstLine="420" w:firstLineChars="200"/>
        <w:outlineLvl w:val="3"/>
        <w:rPr>
          <w:rFonts w:ascii="宋体" w:cs="宋体"/>
          <w:bCs/>
        </w:rPr>
      </w:pPr>
      <w:bookmarkStart w:id="128" w:name="_Toc152042347"/>
      <w:bookmarkStart w:id="129" w:name="_Toc144974539"/>
      <w:bookmarkStart w:id="130" w:name="_Toc152045571"/>
      <w:bookmarkStart w:id="131" w:name="_Toc361338277"/>
      <w:r>
        <w:rPr>
          <w:rFonts w:hint="eastAsia" w:ascii="宋体" w:cs="宋体"/>
          <w:bCs/>
        </w:rPr>
        <w:t xml:space="preserve">7.3.1招标人和中标人应当自中标通知书发出之日起30天内，根据招标文件和中标人的投标文件订立书面合同。中标人无正当理由拒签合同的，招标人取消其中标资格，给招标人造成的损失，中标人应当予以赔偿。 </w:t>
      </w:r>
    </w:p>
    <w:p>
      <w:pPr>
        <w:spacing w:line="400" w:lineRule="exact"/>
        <w:ind w:firstLine="420" w:firstLineChars="200"/>
        <w:outlineLvl w:val="3"/>
        <w:rPr>
          <w:rFonts w:ascii="宋体" w:cs="宋体"/>
          <w:bCs/>
        </w:rPr>
      </w:pPr>
      <w:r>
        <w:rPr>
          <w:rFonts w:hint="eastAsia" w:ascii="宋体" w:cs="宋体"/>
          <w:bCs/>
        </w:rPr>
        <w:t xml:space="preserve">7.3.2 发出中标通知书后，招标人无正当理由拒签合同的，招标人向中标人退还投标保证金；给中标人造成损失的，还应当赔偿损失。 </w:t>
      </w:r>
    </w:p>
    <w:p>
      <w:pPr>
        <w:pStyle w:val="113"/>
        <w:spacing w:line="360" w:lineRule="exact"/>
        <w:rPr>
          <w:rFonts w:ascii="宋体" w:hAnsi="宋体" w:eastAsia="宋体"/>
          <w:b/>
          <w:bCs/>
          <w:sz w:val="21"/>
          <w:szCs w:val="21"/>
        </w:rPr>
      </w:pPr>
      <w:r>
        <w:rPr>
          <w:rFonts w:ascii="宋体" w:hAnsi="宋体" w:eastAsia="宋体" w:cs="仿宋_GB2312"/>
          <w:b/>
          <w:bCs/>
          <w:sz w:val="21"/>
          <w:szCs w:val="21"/>
        </w:rPr>
        <w:t xml:space="preserve">8. </w:t>
      </w:r>
      <w:r>
        <w:rPr>
          <w:rFonts w:hint="eastAsia" w:ascii="宋体" w:hAnsi="宋体" w:eastAsia="宋体" w:cs="仿宋_GB2312"/>
          <w:b/>
          <w:bCs/>
          <w:sz w:val="21"/>
          <w:szCs w:val="21"/>
        </w:rPr>
        <w:t>重新招标和不再招标</w:t>
      </w:r>
      <w:bookmarkEnd w:id="128"/>
      <w:bookmarkEnd w:id="129"/>
      <w:bookmarkEnd w:id="130"/>
      <w:bookmarkEnd w:id="131"/>
    </w:p>
    <w:p>
      <w:pPr>
        <w:pStyle w:val="113"/>
        <w:spacing w:line="360" w:lineRule="exact"/>
        <w:rPr>
          <w:rFonts w:ascii="宋体" w:hAnsi="宋体" w:eastAsia="宋体"/>
          <w:b/>
          <w:bCs/>
          <w:sz w:val="21"/>
          <w:szCs w:val="21"/>
        </w:rPr>
      </w:pPr>
      <w:bookmarkStart w:id="132" w:name="_Toc144974540"/>
      <w:bookmarkStart w:id="133" w:name="_Toc361338278"/>
      <w:bookmarkStart w:id="134" w:name="_Toc152045572"/>
      <w:bookmarkStart w:id="135" w:name="_Toc152042348"/>
      <w:r>
        <w:rPr>
          <w:rFonts w:ascii="宋体" w:hAnsi="宋体" w:eastAsia="宋体" w:cs="仿宋_GB2312"/>
          <w:b/>
          <w:bCs/>
          <w:sz w:val="21"/>
          <w:szCs w:val="21"/>
        </w:rPr>
        <w:t xml:space="preserve">8.1 </w:t>
      </w:r>
      <w:r>
        <w:rPr>
          <w:rFonts w:hint="eastAsia" w:ascii="宋体" w:hAnsi="宋体" w:eastAsia="宋体" w:cs="仿宋_GB2312"/>
          <w:b/>
          <w:bCs/>
          <w:sz w:val="21"/>
          <w:szCs w:val="21"/>
        </w:rPr>
        <w:t>重新招标</w:t>
      </w:r>
      <w:bookmarkEnd w:id="132"/>
      <w:bookmarkEnd w:id="133"/>
      <w:bookmarkEnd w:id="134"/>
      <w:bookmarkEnd w:id="135"/>
    </w:p>
    <w:p>
      <w:pPr>
        <w:spacing w:line="400" w:lineRule="exact"/>
        <w:ind w:firstLine="420" w:firstLineChars="200"/>
        <w:rPr>
          <w:rFonts w:ascii="宋体" w:cs="宋体"/>
          <w:bCs/>
        </w:rPr>
      </w:pPr>
      <w:bookmarkStart w:id="136" w:name="_Toc361338279"/>
      <w:bookmarkStart w:id="137" w:name="_Toc152045573"/>
      <w:bookmarkStart w:id="138" w:name="_Toc152042349"/>
      <w:bookmarkStart w:id="139" w:name="_Toc144974541"/>
      <w:r>
        <w:rPr>
          <w:rFonts w:hint="eastAsia" w:ascii="宋体" w:cs="宋体"/>
          <w:bCs/>
        </w:rPr>
        <w:t>有下列情形之一的，招标人将重新招标：</w:t>
      </w:r>
    </w:p>
    <w:p>
      <w:pPr>
        <w:spacing w:line="400" w:lineRule="exact"/>
        <w:ind w:firstLine="359" w:firstLineChars="171"/>
        <w:outlineLvl w:val="4"/>
        <w:rPr>
          <w:rFonts w:ascii="宋体" w:cs="宋体"/>
          <w:bCs/>
        </w:rPr>
      </w:pPr>
      <w:r>
        <w:rPr>
          <w:rFonts w:hint="eastAsia" w:ascii="宋体" w:cs="宋体"/>
          <w:bCs/>
        </w:rPr>
        <w:t>（1）投标截止时间止，投标人少于3个的；</w:t>
      </w:r>
    </w:p>
    <w:p>
      <w:pPr>
        <w:spacing w:line="400" w:lineRule="exact"/>
        <w:ind w:firstLine="359" w:firstLineChars="171"/>
        <w:outlineLvl w:val="4"/>
        <w:rPr>
          <w:rFonts w:ascii="宋体" w:cs="宋体"/>
          <w:bCs/>
        </w:rPr>
      </w:pPr>
      <w:r>
        <w:rPr>
          <w:rFonts w:hint="eastAsia" w:ascii="宋体" w:cs="宋体"/>
          <w:bCs/>
        </w:rPr>
        <w:t>（2）经评标委员会评审后否决所有投标的；</w:t>
      </w:r>
    </w:p>
    <w:p>
      <w:pPr>
        <w:pStyle w:val="113"/>
        <w:spacing w:line="360" w:lineRule="exact"/>
        <w:rPr>
          <w:rFonts w:ascii="宋体" w:hAnsi="宋体" w:eastAsia="宋体"/>
          <w:b/>
          <w:bCs/>
          <w:sz w:val="21"/>
          <w:szCs w:val="21"/>
        </w:rPr>
      </w:pPr>
      <w:r>
        <w:rPr>
          <w:rFonts w:ascii="宋体" w:hAnsi="宋体" w:eastAsia="宋体" w:cs="仿宋_GB2312"/>
          <w:b/>
          <w:bCs/>
          <w:sz w:val="21"/>
          <w:szCs w:val="21"/>
        </w:rPr>
        <w:t xml:space="preserve">8.2 </w:t>
      </w:r>
      <w:r>
        <w:rPr>
          <w:rFonts w:hint="eastAsia" w:ascii="宋体" w:hAnsi="宋体" w:eastAsia="宋体" w:cs="仿宋_GB2312"/>
          <w:b/>
          <w:bCs/>
          <w:sz w:val="21"/>
          <w:szCs w:val="21"/>
        </w:rPr>
        <w:t>不再招标</w:t>
      </w:r>
      <w:bookmarkEnd w:id="136"/>
      <w:bookmarkEnd w:id="137"/>
      <w:bookmarkEnd w:id="138"/>
      <w:bookmarkEnd w:id="139"/>
    </w:p>
    <w:p>
      <w:pPr>
        <w:spacing w:line="400" w:lineRule="exact"/>
        <w:ind w:firstLine="420" w:firstLineChars="200"/>
        <w:outlineLvl w:val="3"/>
        <w:rPr>
          <w:rFonts w:ascii="宋体" w:cs="宋体"/>
          <w:bCs/>
        </w:rPr>
      </w:pPr>
      <w:r>
        <w:rPr>
          <w:rFonts w:hint="eastAsia" w:ascii="宋体" w:cs="宋体"/>
          <w:bCs/>
        </w:rPr>
        <w:t>重新招标后投标人仍少于3个或者所有投标被否决的，属于必须审批或核准的项目，经原审批或核准部门批准后不再进行招标。</w:t>
      </w:r>
    </w:p>
    <w:p>
      <w:pPr>
        <w:pStyle w:val="118"/>
        <w:rPr>
          <w:rFonts w:ascii="宋体" w:eastAsia="宋体"/>
          <w:b/>
          <w:sz w:val="21"/>
          <w:szCs w:val="21"/>
        </w:rPr>
      </w:pPr>
      <w:bookmarkStart w:id="140" w:name="_Toc179632592"/>
      <w:bookmarkStart w:id="141" w:name="_Toc152042350"/>
      <w:bookmarkStart w:id="142" w:name="_Toc13946"/>
      <w:bookmarkStart w:id="143" w:name="_Toc29170"/>
      <w:bookmarkStart w:id="144" w:name="_Toc144974542"/>
      <w:bookmarkStart w:id="145" w:name="_Toc152045574"/>
      <w:r>
        <w:rPr>
          <w:rFonts w:hint="eastAsia" w:ascii="宋体" w:eastAsia="宋体"/>
          <w:b/>
          <w:sz w:val="21"/>
          <w:szCs w:val="21"/>
        </w:rPr>
        <w:t>9. 纪律和监督</w:t>
      </w:r>
      <w:bookmarkEnd w:id="140"/>
      <w:bookmarkEnd w:id="141"/>
      <w:bookmarkEnd w:id="142"/>
      <w:bookmarkEnd w:id="143"/>
      <w:bookmarkEnd w:id="144"/>
      <w:bookmarkEnd w:id="145"/>
    </w:p>
    <w:p>
      <w:pPr>
        <w:pStyle w:val="113"/>
        <w:rPr>
          <w:rFonts w:ascii="宋体" w:eastAsia="宋体"/>
          <w:b/>
          <w:sz w:val="21"/>
          <w:szCs w:val="21"/>
        </w:rPr>
      </w:pPr>
      <w:bookmarkStart w:id="146" w:name="_Toc152042351"/>
      <w:bookmarkStart w:id="147" w:name="_Toc144974543"/>
      <w:bookmarkStart w:id="148" w:name="_Toc152045575"/>
      <w:bookmarkStart w:id="149" w:name="_Toc179632593"/>
      <w:r>
        <w:rPr>
          <w:rFonts w:hint="eastAsia" w:ascii="宋体" w:eastAsia="宋体"/>
          <w:b/>
          <w:sz w:val="21"/>
          <w:szCs w:val="21"/>
        </w:rPr>
        <w:t>9.1 对招标人的纪律要求</w:t>
      </w:r>
      <w:bookmarkEnd w:id="146"/>
      <w:bookmarkEnd w:id="147"/>
      <w:bookmarkEnd w:id="148"/>
      <w:bookmarkEnd w:id="149"/>
    </w:p>
    <w:p>
      <w:pPr>
        <w:spacing w:line="400" w:lineRule="exact"/>
        <w:ind w:firstLine="420" w:firstLineChars="200"/>
        <w:rPr>
          <w:rFonts w:ascii="宋体" w:cs="宋体"/>
          <w:bCs/>
        </w:rPr>
      </w:pPr>
      <w:r>
        <w:rPr>
          <w:rFonts w:hint="eastAsia" w:ascii="宋体" w:cs="宋体"/>
          <w:bCs/>
        </w:rPr>
        <w:t>招标人不得泄漏招标投标活动中应当保密的情况和资料，不得与投标人串通损害国家利益、社会公共利益或者他人合法权益。</w:t>
      </w:r>
      <w:bookmarkStart w:id="150" w:name="_Toc144974544"/>
      <w:bookmarkStart w:id="151" w:name="_Toc179632594"/>
      <w:bookmarkStart w:id="152" w:name="_Toc152045576"/>
      <w:bookmarkStart w:id="153" w:name="_Toc152042352"/>
    </w:p>
    <w:p>
      <w:pPr>
        <w:spacing w:line="400" w:lineRule="exact"/>
        <w:rPr>
          <w:rFonts w:ascii="宋体"/>
          <w:b/>
        </w:rPr>
      </w:pPr>
      <w:r>
        <w:rPr>
          <w:rFonts w:hint="eastAsia" w:ascii="宋体"/>
          <w:b/>
        </w:rPr>
        <w:t>9.2 对投标人的纪律要求</w:t>
      </w:r>
      <w:bookmarkEnd w:id="150"/>
      <w:bookmarkEnd w:id="151"/>
      <w:bookmarkEnd w:id="152"/>
      <w:bookmarkEnd w:id="153"/>
      <w:bookmarkStart w:id="154" w:name="_Toc179632595"/>
      <w:bookmarkStart w:id="155" w:name="_Toc144974545"/>
      <w:bookmarkStart w:id="156" w:name="_Toc152045577"/>
      <w:bookmarkStart w:id="157" w:name="_Toc152042353"/>
    </w:p>
    <w:p>
      <w:pPr>
        <w:spacing w:line="400" w:lineRule="exact"/>
        <w:ind w:firstLine="420" w:firstLineChars="200"/>
        <w:rPr>
          <w:rFonts w:ascii="宋体"/>
          <w:bCs/>
        </w:rPr>
      </w:pPr>
      <w:r>
        <w:rPr>
          <w:rFonts w:hint="eastAsia" w:ascii="宋体"/>
          <w:bCs/>
        </w:rPr>
        <w:t>投标人不得相互串通投标或者与招标人串通投标，不得向招标人或者评标委员会成员行贿谋取中标，不得以他人名义投标或者以其他方式弄虚作假骗取中标；投标人不得以任何方式干扰、影响评标工作。如投标人存在围标、串标、以他人名义投标、弄虚作假、恶意投诉、虚假投诉等行为的、经查证属实的，其提交的投标保证金不予退还，并记入诚信档案，一定期限内不得参与阜阳市公共资源交易活动。</w:t>
      </w:r>
    </w:p>
    <w:p>
      <w:pPr>
        <w:pStyle w:val="113"/>
        <w:rPr>
          <w:rFonts w:ascii="宋体" w:eastAsia="宋体"/>
          <w:b/>
          <w:sz w:val="21"/>
          <w:szCs w:val="21"/>
        </w:rPr>
      </w:pPr>
      <w:r>
        <w:rPr>
          <w:rFonts w:hint="eastAsia" w:ascii="宋体" w:eastAsia="宋体"/>
          <w:b/>
          <w:sz w:val="21"/>
          <w:szCs w:val="21"/>
        </w:rPr>
        <w:t>9.3 对评标委员会成员的纪律要求</w:t>
      </w:r>
      <w:bookmarkEnd w:id="154"/>
      <w:bookmarkEnd w:id="155"/>
      <w:bookmarkEnd w:id="156"/>
      <w:bookmarkEnd w:id="157"/>
    </w:p>
    <w:p>
      <w:pPr>
        <w:spacing w:line="400" w:lineRule="exact"/>
        <w:ind w:firstLine="420" w:firstLineChars="200"/>
        <w:rPr>
          <w:rFonts w:ascii="宋体" w:cs="宋体"/>
          <w:bCs/>
        </w:rPr>
      </w:pPr>
      <w:r>
        <w:rPr>
          <w:rFonts w:hint="eastAsia" w:ascii="宋体" w:cs="宋体"/>
          <w:bCs/>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113"/>
        <w:rPr>
          <w:rFonts w:ascii="宋体" w:eastAsia="宋体"/>
          <w:b/>
          <w:sz w:val="21"/>
          <w:szCs w:val="21"/>
        </w:rPr>
      </w:pPr>
      <w:bookmarkStart w:id="158" w:name="_Toc179632596"/>
      <w:bookmarkStart w:id="159" w:name="_Toc152045578"/>
      <w:bookmarkStart w:id="160" w:name="_Toc152042354"/>
      <w:bookmarkStart w:id="161" w:name="_Toc144974546"/>
      <w:r>
        <w:rPr>
          <w:rFonts w:hint="eastAsia" w:ascii="宋体" w:eastAsia="宋体"/>
          <w:b/>
          <w:sz w:val="21"/>
          <w:szCs w:val="21"/>
        </w:rPr>
        <w:t>9.4 对与评标活动有关的工作人员的纪律要求</w:t>
      </w:r>
      <w:bookmarkEnd w:id="158"/>
      <w:bookmarkEnd w:id="159"/>
      <w:bookmarkEnd w:id="160"/>
    </w:p>
    <w:p>
      <w:pPr>
        <w:spacing w:line="400" w:lineRule="exact"/>
        <w:ind w:firstLine="420" w:firstLineChars="200"/>
        <w:rPr>
          <w:rFonts w:ascii="宋体" w:cs="宋体"/>
          <w:bCs/>
        </w:rPr>
      </w:pPr>
      <w:bookmarkStart w:id="162" w:name="_Toc152042355"/>
      <w:r>
        <w:rPr>
          <w:rFonts w:hint="eastAsia" w:ascii="宋体" w:cs="宋体"/>
          <w:bCs/>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162"/>
    </w:p>
    <w:p>
      <w:pPr>
        <w:pStyle w:val="113"/>
        <w:rPr>
          <w:rFonts w:ascii="宋体" w:eastAsia="宋体"/>
          <w:b/>
          <w:sz w:val="21"/>
          <w:szCs w:val="21"/>
        </w:rPr>
      </w:pPr>
      <w:bookmarkStart w:id="163" w:name="_Toc152042356"/>
      <w:bookmarkStart w:id="164" w:name="_Toc152045579"/>
      <w:bookmarkStart w:id="165" w:name="_Toc179632597"/>
      <w:r>
        <w:rPr>
          <w:rFonts w:hint="eastAsia" w:ascii="宋体" w:eastAsia="宋体"/>
          <w:b/>
          <w:sz w:val="21"/>
          <w:szCs w:val="21"/>
        </w:rPr>
        <w:t>9.5异议、投诉</w:t>
      </w:r>
    </w:p>
    <w:p>
      <w:pPr>
        <w:spacing w:line="400" w:lineRule="exact"/>
        <w:rPr>
          <w:rFonts w:ascii="宋体" w:cs="宋体"/>
          <w:bCs/>
        </w:rPr>
      </w:pPr>
      <w:r>
        <w:rPr>
          <w:rFonts w:hint="eastAsia" w:ascii="宋体" w:cs="宋体"/>
          <w:bCs/>
        </w:rPr>
        <w:t xml:space="preserve">9.5.1投标人和其他利害关系人认为招标投标活动不符合法律、行政法规和规章规定的,可按照《招标投标法实施条例》等相关规定向招标人提出异议或向有关行政监督部门投诉。 </w:t>
      </w:r>
    </w:p>
    <w:bookmarkEnd w:id="161"/>
    <w:bookmarkEnd w:id="163"/>
    <w:bookmarkEnd w:id="164"/>
    <w:bookmarkEnd w:id="165"/>
    <w:p>
      <w:pPr>
        <w:pStyle w:val="118"/>
        <w:rPr>
          <w:rFonts w:ascii="宋体" w:eastAsia="宋体"/>
          <w:b/>
          <w:sz w:val="21"/>
          <w:szCs w:val="21"/>
        </w:rPr>
      </w:pPr>
      <w:bookmarkStart w:id="166" w:name="_Toc152045580"/>
      <w:bookmarkStart w:id="167" w:name="_Toc179632598"/>
      <w:bookmarkStart w:id="168" w:name="_Toc152042357"/>
      <w:bookmarkStart w:id="169" w:name="_Toc144974547"/>
      <w:r>
        <w:rPr>
          <w:rFonts w:hint="eastAsia" w:ascii="宋体" w:eastAsia="宋体"/>
          <w:b/>
          <w:sz w:val="21"/>
          <w:szCs w:val="21"/>
        </w:rPr>
        <w:t>10. 需要补充的其他内容</w:t>
      </w:r>
      <w:bookmarkEnd w:id="166"/>
      <w:bookmarkEnd w:id="167"/>
      <w:bookmarkEnd w:id="168"/>
      <w:bookmarkEnd w:id="169"/>
    </w:p>
    <w:p>
      <w:pPr>
        <w:pStyle w:val="113"/>
        <w:ind w:firstLine="420" w:firstLineChars="200"/>
        <w:rPr>
          <w:rFonts w:ascii="宋体" w:eastAsia="宋体"/>
          <w:bCs/>
          <w:kern w:val="0"/>
          <w:sz w:val="21"/>
          <w:szCs w:val="21"/>
        </w:rPr>
      </w:pPr>
      <w:r>
        <w:rPr>
          <w:rFonts w:hint="eastAsia" w:ascii="宋体" w:eastAsia="宋体"/>
          <w:bCs/>
          <w:kern w:val="0"/>
          <w:sz w:val="21"/>
          <w:szCs w:val="21"/>
        </w:rPr>
        <w:t>需要补充的其他内容：见投标人须知前附表。</w:t>
      </w:r>
    </w:p>
    <w:p>
      <w:pPr>
        <w:pStyle w:val="118"/>
        <w:rPr>
          <w:rFonts w:ascii="宋体" w:eastAsia="宋体"/>
          <w:b/>
          <w:sz w:val="21"/>
          <w:szCs w:val="21"/>
        </w:rPr>
      </w:pPr>
      <w:bookmarkStart w:id="170" w:name="_Toc7093"/>
      <w:r>
        <w:rPr>
          <w:rFonts w:hint="eastAsia" w:ascii="宋体" w:eastAsia="宋体"/>
          <w:b/>
          <w:sz w:val="21"/>
          <w:szCs w:val="21"/>
        </w:rPr>
        <w:t>11.本招标文件解释权</w:t>
      </w:r>
      <w:bookmarkEnd w:id="170"/>
    </w:p>
    <w:p>
      <w:pPr>
        <w:pStyle w:val="113"/>
        <w:ind w:firstLine="420" w:firstLineChars="200"/>
        <w:rPr>
          <w:rFonts w:ascii="宋体" w:eastAsia="宋体"/>
          <w:bCs/>
          <w:kern w:val="0"/>
          <w:sz w:val="21"/>
          <w:szCs w:val="21"/>
        </w:rPr>
      </w:pPr>
      <w:r>
        <w:rPr>
          <w:rFonts w:hint="eastAsia" w:ascii="宋体" w:eastAsia="宋体"/>
          <w:bCs/>
          <w:kern w:val="0"/>
          <w:sz w:val="21"/>
          <w:szCs w:val="21"/>
        </w:rPr>
        <w:t>本招标文件解释权归招标人所有。</w:t>
      </w:r>
    </w:p>
    <w:p>
      <w:pPr>
        <w:spacing w:line="400" w:lineRule="exact"/>
        <w:ind w:firstLine="420" w:firstLineChars="200"/>
        <w:outlineLvl w:val="3"/>
        <w:rPr>
          <w:rFonts w:ascii="宋体" w:cs="宋体"/>
          <w:bCs/>
        </w:rPr>
      </w:pPr>
    </w:p>
    <w:p>
      <w:pPr>
        <w:spacing w:line="400" w:lineRule="exact"/>
        <w:ind w:firstLine="420" w:firstLineChars="200"/>
        <w:outlineLvl w:val="3"/>
        <w:rPr>
          <w:rFonts w:ascii="宋体" w:cs="宋体"/>
          <w:bCs/>
        </w:rPr>
      </w:pPr>
    </w:p>
    <w:p>
      <w:pPr>
        <w:spacing w:line="400" w:lineRule="exact"/>
        <w:ind w:firstLine="420" w:firstLineChars="200"/>
        <w:outlineLvl w:val="3"/>
        <w:rPr>
          <w:rFonts w:ascii="宋体" w:cs="宋体"/>
          <w:bCs/>
        </w:rPr>
      </w:pPr>
    </w:p>
    <w:p>
      <w:pPr>
        <w:spacing w:line="400" w:lineRule="exact"/>
        <w:ind w:firstLine="420" w:firstLineChars="200"/>
        <w:outlineLvl w:val="3"/>
        <w:rPr>
          <w:rFonts w:ascii="宋体" w:cs="宋体"/>
          <w:bCs/>
        </w:rPr>
      </w:pPr>
    </w:p>
    <w:p>
      <w:pPr>
        <w:spacing w:line="400" w:lineRule="exact"/>
        <w:ind w:firstLine="420" w:firstLineChars="200"/>
        <w:outlineLvl w:val="3"/>
        <w:rPr>
          <w:rFonts w:ascii="宋体" w:cs="宋体"/>
          <w:bCs/>
        </w:rPr>
      </w:pPr>
    </w:p>
    <w:p>
      <w:pPr>
        <w:spacing w:line="400" w:lineRule="exact"/>
        <w:ind w:firstLine="420" w:firstLineChars="200"/>
        <w:outlineLvl w:val="3"/>
        <w:rPr>
          <w:rFonts w:ascii="宋体" w:cs="宋体"/>
          <w:bCs/>
        </w:rPr>
      </w:pPr>
    </w:p>
    <w:p>
      <w:pPr>
        <w:spacing w:line="400" w:lineRule="exact"/>
        <w:ind w:firstLine="420" w:firstLineChars="200"/>
        <w:outlineLvl w:val="3"/>
        <w:rPr>
          <w:rFonts w:ascii="宋体" w:cs="宋体"/>
          <w:bCs/>
        </w:rPr>
      </w:pPr>
    </w:p>
    <w:p>
      <w:pPr>
        <w:spacing w:line="400" w:lineRule="exact"/>
        <w:ind w:firstLine="420" w:firstLineChars="200"/>
        <w:outlineLvl w:val="3"/>
        <w:rPr>
          <w:rFonts w:ascii="宋体" w:cs="宋体"/>
          <w:bCs/>
        </w:rPr>
      </w:pPr>
    </w:p>
    <w:p>
      <w:pPr>
        <w:spacing w:line="400" w:lineRule="exact"/>
        <w:ind w:firstLine="420" w:firstLineChars="200"/>
        <w:outlineLvl w:val="3"/>
        <w:rPr>
          <w:rFonts w:ascii="宋体" w:cs="宋体"/>
          <w:bCs/>
        </w:rPr>
      </w:pPr>
    </w:p>
    <w:p>
      <w:pPr>
        <w:spacing w:line="400" w:lineRule="exact"/>
        <w:ind w:firstLine="420" w:firstLineChars="200"/>
        <w:outlineLvl w:val="3"/>
        <w:rPr>
          <w:rFonts w:ascii="宋体" w:cs="宋体"/>
          <w:bCs/>
        </w:rPr>
      </w:pPr>
    </w:p>
    <w:p>
      <w:pPr>
        <w:spacing w:line="400" w:lineRule="exact"/>
        <w:ind w:firstLine="420" w:firstLineChars="200"/>
        <w:outlineLvl w:val="3"/>
        <w:rPr>
          <w:rFonts w:ascii="宋体" w:cs="宋体"/>
          <w:bCs/>
        </w:rPr>
      </w:pPr>
    </w:p>
    <w:p>
      <w:pPr>
        <w:spacing w:line="400" w:lineRule="exact"/>
        <w:ind w:firstLine="420" w:firstLineChars="200"/>
        <w:outlineLvl w:val="3"/>
        <w:rPr>
          <w:rFonts w:ascii="宋体" w:cs="宋体"/>
          <w:bCs/>
        </w:rPr>
      </w:pPr>
    </w:p>
    <w:p>
      <w:pPr>
        <w:spacing w:line="400" w:lineRule="exact"/>
        <w:ind w:firstLine="420" w:firstLineChars="200"/>
        <w:outlineLvl w:val="3"/>
        <w:rPr>
          <w:rFonts w:ascii="宋体" w:cs="宋体"/>
          <w:bCs/>
        </w:rPr>
      </w:pPr>
    </w:p>
    <w:p>
      <w:pPr>
        <w:spacing w:line="400" w:lineRule="exact"/>
        <w:ind w:firstLine="420" w:firstLineChars="200"/>
        <w:outlineLvl w:val="3"/>
        <w:rPr>
          <w:rFonts w:ascii="宋体" w:cs="宋体"/>
          <w:bCs/>
        </w:rPr>
      </w:pPr>
    </w:p>
    <w:p>
      <w:pPr>
        <w:spacing w:line="400" w:lineRule="exact"/>
        <w:ind w:firstLine="420" w:firstLineChars="200"/>
        <w:outlineLvl w:val="3"/>
        <w:rPr>
          <w:rFonts w:ascii="宋体" w:cs="宋体"/>
          <w:bCs/>
        </w:rPr>
      </w:pPr>
    </w:p>
    <w:p>
      <w:pPr>
        <w:snapToGrid w:val="0"/>
        <w:spacing w:line="300" w:lineRule="auto"/>
        <w:outlineLvl w:val="0"/>
        <w:rPr>
          <w:rFonts w:ascii="宋体" w:hAnsi="宋体"/>
        </w:rPr>
      </w:pPr>
    </w:p>
    <w:p>
      <w:pPr>
        <w:jc w:val="center"/>
        <w:outlineLvl w:val="0"/>
        <w:rPr>
          <w:rFonts w:ascii="黑体" w:eastAsia="黑体"/>
          <w:b/>
          <w:sz w:val="32"/>
          <w:szCs w:val="32"/>
        </w:rPr>
      </w:pPr>
      <w:bookmarkStart w:id="171" w:name="_Toc475089541"/>
      <w:r>
        <w:rPr>
          <w:rFonts w:hint="eastAsia" w:ascii="黑体" w:eastAsia="黑体"/>
          <w:b/>
          <w:sz w:val="32"/>
          <w:szCs w:val="32"/>
        </w:rPr>
        <w:t>第三章 评标办法(综合评标法)</w:t>
      </w:r>
      <w:bookmarkEnd w:id="171"/>
    </w:p>
    <w:p>
      <w:pPr>
        <w:jc w:val="center"/>
        <w:rPr>
          <w:rFonts w:ascii="仿宋" w:hAnsi="仿宋" w:eastAsia="仿宋" w:cs="仿宋"/>
          <w:b/>
          <w:bCs/>
          <w:sz w:val="36"/>
          <w:szCs w:val="36"/>
        </w:rPr>
      </w:pPr>
      <w:r>
        <w:rPr>
          <w:rFonts w:hint="eastAsia"/>
          <w:sz w:val="28"/>
          <w:szCs w:val="28"/>
        </w:rPr>
        <w:t>评标委员会否决其投标的条款</w:t>
      </w:r>
      <w:r>
        <w:rPr>
          <w:rFonts w:hint="eastAsia" w:ascii="仿宋" w:hAnsi="仿宋" w:eastAsia="仿宋" w:cs="仿宋"/>
          <w:b/>
          <w:bCs/>
          <w:sz w:val="36"/>
          <w:szCs w:val="36"/>
        </w:rPr>
        <w:t xml:space="preserve"> </w:t>
      </w:r>
    </w:p>
    <w:p>
      <w:pPr>
        <w:spacing w:line="400" w:lineRule="exact"/>
        <w:ind w:firstLine="480" w:firstLineChars="200"/>
        <w:rPr>
          <w:rFonts w:ascii="宋体" w:cs="宋体"/>
          <w:sz w:val="24"/>
          <w:szCs w:val="24"/>
        </w:rPr>
      </w:pPr>
      <w:r>
        <w:rPr>
          <w:rFonts w:hint="eastAsia" w:ascii="宋体" w:cs="宋体"/>
          <w:sz w:val="24"/>
          <w:szCs w:val="24"/>
        </w:rPr>
        <w:t>1、不符合评标办法前附表要求条件的。</w:t>
      </w:r>
    </w:p>
    <w:p>
      <w:pPr>
        <w:spacing w:line="400" w:lineRule="exact"/>
        <w:ind w:firstLine="480" w:firstLineChars="200"/>
        <w:rPr>
          <w:rFonts w:ascii="宋体" w:cs="宋体"/>
          <w:sz w:val="24"/>
          <w:szCs w:val="24"/>
        </w:rPr>
      </w:pPr>
      <w:r>
        <w:rPr>
          <w:rFonts w:hint="eastAsia" w:ascii="宋体" w:cs="宋体"/>
          <w:sz w:val="24"/>
          <w:szCs w:val="24"/>
        </w:rPr>
        <w:t>2、评标委员会认定投标人以低于成本报价竞标。</w:t>
      </w:r>
    </w:p>
    <w:p>
      <w:pPr>
        <w:spacing w:line="400" w:lineRule="exact"/>
        <w:ind w:firstLine="480" w:firstLineChars="200"/>
        <w:rPr>
          <w:rFonts w:ascii="宋体" w:cs="宋体"/>
          <w:sz w:val="24"/>
          <w:szCs w:val="24"/>
        </w:rPr>
      </w:pPr>
      <w:r>
        <w:rPr>
          <w:rFonts w:hint="eastAsia" w:ascii="宋体" w:cs="宋体"/>
          <w:sz w:val="24"/>
          <w:szCs w:val="24"/>
        </w:rPr>
        <w:t>3、投标人有串通投标或弄虚作假或有其他违法行为的。</w:t>
      </w:r>
    </w:p>
    <w:p>
      <w:pPr>
        <w:spacing w:line="400" w:lineRule="exact"/>
        <w:ind w:firstLine="480" w:firstLineChars="200"/>
        <w:rPr>
          <w:rFonts w:ascii="宋体" w:cs="宋体"/>
          <w:sz w:val="24"/>
          <w:szCs w:val="24"/>
        </w:rPr>
      </w:pPr>
      <w:r>
        <w:rPr>
          <w:rFonts w:hint="eastAsia" w:ascii="宋体" w:cs="宋体"/>
          <w:sz w:val="24"/>
          <w:szCs w:val="24"/>
        </w:rPr>
        <w:t xml:space="preserve">   串通投标行为是指：</w:t>
      </w:r>
    </w:p>
    <w:p>
      <w:pPr>
        <w:spacing w:line="400" w:lineRule="exact"/>
        <w:ind w:firstLine="480" w:firstLineChars="200"/>
        <w:rPr>
          <w:rFonts w:ascii="宋体" w:cs="宋体"/>
          <w:sz w:val="24"/>
          <w:szCs w:val="24"/>
        </w:rPr>
      </w:pPr>
      <w:r>
        <w:rPr>
          <w:rFonts w:hint="eastAsia" w:ascii="宋体" w:cs="宋体"/>
          <w:sz w:val="24"/>
          <w:szCs w:val="24"/>
        </w:rPr>
        <w:t xml:space="preserve">  （1）不同投标人的投标文件内容存在非正常一致的；</w:t>
      </w:r>
    </w:p>
    <w:p>
      <w:pPr>
        <w:spacing w:line="400" w:lineRule="exact"/>
        <w:ind w:firstLine="480" w:firstLineChars="200"/>
        <w:rPr>
          <w:rFonts w:ascii="宋体" w:cs="宋体"/>
          <w:sz w:val="24"/>
          <w:szCs w:val="24"/>
        </w:rPr>
      </w:pPr>
      <w:r>
        <w:rPr>
          <w:rFonts w:hint="eastAsia" w:ascii="宋体" w:cs="宋体"/>
          <w:sz w:val="24"/>
          <w:szCs w:val="24"/>
        </w:rPr>
        <w:t xml:space="preserve">  （2）不同投标人委托同一人投标或与同一人联合投标的；</w:t>
      </w:r>
    </w:p>
    <w:p>
      <w:pPr>
        <w:spacing w:line="400" w:lineRule="exact"/>
        <w:ind w:firstLine="480" w:firstLineChars="200"/>
        <w:rPr>
          <w:rFonts w:ascii="宋体" w:cs="宋体"/>
          <w:sz w:val="24"/>
          <w:szCs w:val="24"/>
        </w:rPr>
      </w:pPr>
      <w:r>
        <w:rPr>
          <w:rFonts w:hint="eastAsia" w:ascii="宋体" w:cs="宋体"/>
          <w:sz w:val="24"/>
          <w:szCs w:val="24"/>
        </w:rPr>
        <w:t xml:space="preserve">  （3）不同投标人的投标文件载明的</w:t>
      </w:r>
      <w:r>
        <w:rPr>
          <w:rFonts w:hint="eastAsia" w:ascii="宋体" w:hAnsi="宋体" w:cs="宋体"/>
        </w:rPr>
        <w:t>参与此次发行项目人员配备中</w:t>
      </w:r>
      <w:r>
        <w:rPr>
          <w:rFonts w:hint="eastAsia" w:ascii="宋体" w:cs="宋体"/>
          <w:sz w:val="24"/>
          <w:szCs w:val="24"/>
        </w:rPr>
        <w:t>出现同一人的；</w:t>
      </w:r>
    </w:p>
    <w:p>
      <w:pPr>
        <w:spacing w:line="400" w:lineRule="exact"/>
        <w:ind w:firstLine="480" w:firstLineChars="200"/>
        <w:rPr>
          <w:rFonts w:ascii="宋体" w:cs="宋体"/>
          <w:sz w:val="24"/>
          <w:szCs w:val="24"/>
        </w:rPr>
      </w:pPr>
      <w:r>
        <w:rPr>
          <w:rFonts w:hint="eastAsia" w:ascii="宋体" w:cs="宋体"/>
          <w:sz w:val="24"/>
          <w:szCs w:val="24"/>
        </w:rPr>
        <w:t xml:space="preserve">  （4）不同投标人的投标文件相互混装的；</w:t>
      </w:r>
    </w:p>
    <w:p>
      <w:pPr>
        <w:spacing w:line="400" w:lineRule="exact"/>
        <w:ind w:firstLine="480" w:firstLineChars="200"/>
        <w:rPr>
          <w:rFonts w:ascii="宋体" w:cs="宋体"/>
          <w:sz w:val="24"/>
          <w:szCs w:val="24"/>
        </w:rPr>
      </w:pPr>
      <w:r>
        <w:rPr>
          <w:rFonts w:hint="eastAsia" w:ascii="宋体" w:cs="宋体"/>
          <w:sz w:val="24"/>
          <w:szCs w:val="24"/>
        </w:rPr>
        <w:t xml:space="preserve">  （5）不同投标人的投标文件由同一单位或同一人编制的；</w:t>
      </w:r>
    </w:p>
    <w:p>
      <w:pPr>
        <w:spacing w:line="400" w:lineRule="exact"/>
        <w:ind w:firstLine="480" w:firstLineChars="200"/>
        <w:rPr>
          <w:rFonts w:ascii="宋体" w:cs="宋体"/>
          <w:sz w:val="24"/>
          <w:szCs w:val="24"/>
        </w:rPr>
      </w:pPr>
      <w:r>
        <w:rPr>
          <w:rFonts w:hint="eastAsia" w:ascii="宋体" w:cs="宋体"/>
          <w:sz w:val="24"/>
          <w:szCs w:val="24"/>
        </w:rPr>
        <w:t xml:space="preserve">  （6）不同投标人使用同一人或企业资金提交投标保证金的；</w:t>
      </w:r>
    </w:p>
    <w:p>
      <w:pPr>
        <w:spacing w:line="400" w:lineRule="exact"/>
        <w:ind w:firstLine="480" w:firstLineChars="200"/>
        <w:rPr>
          <w:rFonts w:ascii="宋体" w:cs="宋体"/>
          <w:sz w:val="24"/>
          <w:szCs w:val="24"/>
        </w:rPr>
      </w:pPr>
      <w:r>
        <w:rPr>
          <w:rFonts w:hint="eastAsia" w:ascii="宋体" w:cs="宋体"/>
          <w:sz w:val="24"/>
          <w:szCs w:val="24"/>
        </w:rPr>
        <w:t xml:space="preserve">  （7）不同投标人聘请同一人或同一中介机构为其投标提供技术或经济咨询服务的；</w:t>
      </w:r>
    </w:p>
    <w:p>
      <w:pPr>
        <w:spacing w:line="400" w:lineRule="exact"/>
        <w:ind w:firstLine="480" w:firstLineChars="200"/>
        <w:rPr>
          <w:rFonts w:ascii="宋体" w:cs="宋体"/>
          <w:sz w:val="24"/>
          <w:szCs w:val="24"/>
        </w:rPr>
      </w:pPr>
      <w:r>
        <w:rPr>
          <w:rFonts w:hint="eastAsia" w:ascii="宋体" w:cs="宋体"/>
          <w:sz w:val="24"/>
          <w:szCs w:val="24"/>
        </w:rPr>
        <w:t>4、未按规定的格式填写，实质性内容不全或关键字迹模糊、无法辨认的。</w:t>
      </w:r>
    </w:p>
    <w:p>
      <w:pPr>
        <w:spacing w:line="400" w:lineRule="exact"/>
        <w:ind w:firstLine="480" w:firstLineChars="200"/>
        <w:rPr>
          <w:rFonts w:ascii="宋体" w:cs="宋体"/>
          <w:sz w:val="24"/>
          <w:szCs w:val="24"/>
        </w:rPr>
      </w:pPr>
      <w:r>
        <w:rPr>
          <w:rFonts w:hint="eastAsia" w:ascii="宋体" w:cs="宋体"/>
          <w:sz w:val="24"/>
          <w:szCs w:val="24"/>
        </w:rPr>
        <w:t>5、投标人递交两份或多份内容不同的投标文件，投标文件中对同一招标项目报有两个或多个报价，且未声明哪一个有效的。按招标文件规定提交备选投标方案的除外。</w:t>
      </w:r>
    </w:p>
    <w:p>
      <w:pPr>
        <w:spacing w:line="400" w:lineRule="exact"/>
        <w:rPr>
          <w:rFonts w:ascii="宋体" w:cs="宋体"/>
          <w:sz w:val="24"/>
          <w:szCs w:val="24"/>
        </w:rPr>
      </w:pPr>
      <w:r>
        <w:rPr>
          <w:rFonts w:hint="eastAsia" w:ascii="宋体" w:cs="宋体"/>
          <w:sz w:val="24"/>
          <w:szCs w:val="24"/>
        </w:rPr>
        <w:t xml:space="preserve">    6、投标报价高于或等于招标控制价的。</w:t>
      </w:r>
    </w:p>
    <w:p>
      <w:pPr>
        <w:spacing w:line="400" w:lineRule="exact"/>
        <w:rPr>
          <w:rFonts w:ascii="宋体" w:cs="宋体"/>
          <w:sz w:val="24"/>
          <w:szCs w:val="24"/>
        </w:rPr>
      </w:pPr>
      <w:r>
        <w:rPr>
          <w:rFonts w:hint="eastAsia" w:ascii="宋体" w:cs="宋体"/>
          <w:sz w:val="24"/>
          <w:szCs w:val="24"/>
        </w:rPr>
        <w:t xml:space="preserve">    7、承诺中标后发行利率区间报价超过50bp的</w:t>
      </w:r>
    </w:p>
    <w:p>
      <w:pPr>
        <w:spacing w:line="400" w:lineRule="exact"/>
        <w:ind w:firstLine="480" w:firstLineChars="200"/>
        <w:rPr>
          <w:rFonts w:ascii="宋体" w:cs="宋体"/>
          <w:sz w:val="24"/>
          <w:szCs w:val="24"/>
        </w:rPr>
      </w:pPr>
      <w:r>
        <w:rPr>
          <w:rFonts w:hint="eastAsia" w:ascii="宋体" w:cs="宋体"/>
          <w:sz w:val="24"/>
          <w:szCs w:val="24"/>
        </w:rPr>
        <w:t>8、投标人存在下列情形之一的：</w:t>
      </w:r>
    </w:p>
    <w:p>
      <w:pPr>
        <w:spacing w:line="400" w:lineRule="exact"/>
        <w:ind w:firstLine="480" w:firstLineChars="200"/>
        <w:rPr>
          <w:rFonts w:ascii="宋体" w:cs="宋体"/>
          <w:sz w:val="24"/>
          <w:szCs w:val="24"/>
        </w:rPr>
      </w:pPr>
      <w:r>
        <w:rPr>
          <w:rFonts w:hint="eastAsia" w:ascii="宋体" w:cs="宋体"/>
          <w:sz w:val="24"/>
          <w:szCs w:val="24"/>
        </w:rPr>
        <w:t xml:space="preserve">（1）为招标人不具有独立法人资格的附属机构（单位）； </w:t>
      </w:r>
    </w:p>
    <w:p>
      <w:pPr>
        <w:spacing w:line="400" w:lineRule="exact"/>
        <w:ind w:firstLine="480" w:firstLineChars="200"/>
        <w:rPr>
          <w:rFonts w:ascii="宋体" w:cs="宋体"/>
          <w:sz w:val="24"/>
          <w:szCs w:val="24"/>
        </w:rPr>
      </w:pPr>
      <w:r>
        <w:rPr>
          <w:rFonts w:hint="eastAsia" w:ascii="宋体" w:cs="宋体"/>
          <w:sz w:val="24"/>
          <w:szCs w:val="24"/>
        </w:rPr>
        <w:t xml:space="preserve">（2）为本标段前期准备提供设计或咨询服务的； </w:t>
      </w:r>
    </w:p>
    <w:p>
      <w:pPr>
        <w:spacing w:line="400" w:lineRule="exact"/>
        <w:ind w:firstLine="480" w:firstLineChars="200"/>
        <w:rPr>
          <w:rFonts w:ascii="宋体" w:cs="宋体"/>
          <w:sz w:val="24"/>
          <w:szCs w:val="24"/>
        </w:rPr>
      </w:pPr>
      <w:r>
        <w:rPr>
          <w:rFonts w:hint="eastAsia" w:ascii="宋体" w:cs="宋体"/>
          <w:sz w:val="24"/>
          <w:szCs w:val="24"/>
        </w:rPr>
        <w:t xml:space="preserve">（3）为本标段的代建人； </w:t>
      </w:r>
    </w:p>
    <w:p>
      <w:pPr>
        <w:spacing w:line="400" w:lineRule="exact"/>
        <w:ind w:firstLine="480" w:firstLineChars="200"/>
        <w:rPr>
          <w:rFonts w:ascii="宋体" w:cs="宋体"/>
          <w:sz w:val="24"/>
          <w:szCs w:val="24"/>
        </w:rPr>
      </w:pPr>
      <w:r>
        <w:rPr>
          <w:rFonts w:hint="eastAsia" w:ascii="宋体" w:cs="宋体"/>
          <w:sz w:val="24"/>
          <w:szCs w:val="24"/>
        </w:rPr>
        <w:t xml:space="preserve">（4）为本标段提供招标代理服务的； </w:t>
      </w:r>
    </w:p>
    <w:p>
      <w:pPr>
        <w:spacing w:line="400" w:lineRule="exact"/>
        <w:ind w:firstLine="480" w:firstLineChars="200"/>
        <w:rPr>
          <w:rFonts w:ascii="宋体" w:cs="宋体"/>
          <w:sz w:val="24"/>
          <w:szCs w:val="24"/>
        </w:rPr>
      </w:pPr>
      <w:r>
        <w:rPr>
          <w:rFonts w:hint="eastAsia" w:ascii="宋体" w:cs="宋体"/>
          <w:sz w:val="24"/>
          <w:szCs w:val="24"/>
        </w:rPr>
        <w:t>（5）与本标段的招标代理机构同为一个法定代表人的；</w:t>
      </w:r>
    </w:p>
    <w:p>
      <w:pPr>
        <w:spacing w:line="400" w:lineRule="exact"/>
        <w:ind w:firstLine="480" w:firstLineChars="200"/>
        <w:rPr>
          <w:rFonts w:ascii="宋体" w:cs="宋体"/>
          <w:sz w:val="24"/>
          <w:szCs w:val="24"/>
        </w:rPr>
      </w:pPr>
      <w:r>
        <w:rPr>
          <w:rFonts w:hint="eastAsia" w:ascii="宋体" w:cs="宋体"/>
          <w:sz w:val="24"/>
          <w:szCs w:val="24"/>
        </w:rPr>
        <w:t>（6）与本标段的招标代理机构相互控股或参股的；</w:t>
      </w:r>
    </w:p>
    <w:p>
      <w:pPr>
        <w:spacing w:line="400" w:lineRule="exact"/>
        <w:ind w:firstLine="480" w:firstLineChars="200"/>
        <w:rPr>
          <w:rFonts w:ascii="宋体" w:cs="宋体"/>
          <w:sz w:val="24"/>
          <w:szCs w:val="24"/>
        </w:rPr>
      </w:pPr>
      <w:r>
        <w:rPr>
          <w:rFonts w:hint="eastAsia" w:ascii="宋体" w:cs="宋体"/>
          <w:sz w:val="24"/>
          <w:szCs w:val="24"/>
        </w:rPr>
        <w:t>（7）与本标段的招标代理机构相互任职或工作的；</w:t>
      </w:r>
    </w:p>
    <w:p>
      <w:pPr>
        <w:spacing w:line="400" w:lineRule="exact"/>
        <w:ind w:firstLine="480" w:firstLineChars="200"/>
        <w:rPr>
          <w:rFonts w:ascii="宋体" w:cs="宋体"/>
          <w:sz w:val="24"/>
          <w:szCs w:val="24"/>
        </w:rPr>
      </w:pPr>
      <w:r>
        <w:rPr>
          <w:rFonts w:hint="eastAsia" w:ascii="宋体" w:cs="宋体"/>
          <w:sz w:val="24"/>
          <w:szCs w:val="24"/>
        </w:rPr>
        <w:t xml:space="preserve">（8）被责令停业的； </w:t>
      </w:r>
    </w:p>
    <w:p>
      <w:pPr>
        <w:spacing w:line="400" w:lineRule="exact"/>
        <w:ind w:firstLine="480" w:firstLineChars="200"/>
        <w:rPr>
          <w:rFonts w:ascii="宋体" w:cs="宋体"/>
          <w:sz w:val="24"/>
          <w:szCs w:val="24"/>
        </w:rPr>
      </w:pPr>
      <w:r>
        <w:rPr>
          <w:rFonts w:hint="eastAsia" w:ascii="宋体" w:cs="宋体"/>
          <w:sz w:val="24"/>
          <w:szCs w:val="24"/>
        </w:rPr>
        <w:t xml:space="preserve">（9）被行政主管部门或监督部门暂停或取消在阜阳市行政区域内投标资格的； </w:t>
      </w:r>
    </w:p>
    <w:p>
      <w:pPr>
        <w:spacing w:line="400" w:lineRule="exact"/>
        <w:ind w:firstLine="480" w:firstLineChars="200"/>
        <w:rPr>
          <w:rFonts w:ascii="宋体" w:cs="宋体"/>
          <w:sz w:val="24"/>
          <w:szCs w:val="24"/>
        </w:rPr>
      </w:pPr>
      <w:r>
        <w:rPr>
          <w:rFonts w:hint="eastAsia" w:ascii="宋体" w:cs="宋体"/>
          <w:sz w:val="24"/>
          <w:szCs w:val="24"/>
        </w:rPr>
        <w:t>（10）财产被接管或冻结的；</w:t>
      </w:r>
    </w:p>
    <w:p>
      <w:pPr>
        <w:spacing w:line="400" w:lineRule="exact"/>
        <w:ind w:firstLine="480" w:firstLineChars="200"/>
        <w:rPr>
          <w:rFonts w:ascii="宋体" w:cs="宋体"/>
          <w:sz w:val="24"/>
          <w:szCs w:val="24"/>
        </w:rPr>
      </w:pPr>
      <w:r>
        <w:rPr>
          <w:rFonts w:hint="eastAsia" w:ascii="宋体" w:cs="宋体"/>
          <w:sz w:val="24"/>
          <w:szCs w:val="24"/>
        </w:rPr>
        <w:t>（11）因骗取中标或严重违约或重大工程质量问题被限制投标资格且在限制期内的。</w:t>
      </w:r>
    </w:p>
    <w:p>
      <w:pPr>
        <w:spacing w:line="400" w:lineRule="exact"/>
        <w:ind w:firstLine="480" w:firstLineChars="200"/>
        <w:rPr>
          <w:rFonts w:ascii="宋体" w:cs="宋体"/>
          <w:sz w:val="24"/>
          <w:szCs w:val="24"/>
        </w:rPr>
      </w:pPr>
      <w:r>
        <w:rPr>
          <w:rFonts w:hint="eastAsia" w:ascii="宋体" w:cs="宋体"/>
          <w:sz w:val="24"/>
          <w:szCs w:val="24"/>
        </w:rPr>
        <w:t xml:space="preserve">9、投标人不按本章第3.4.1项要求提交投标保证金的 </w:t>
      </w:r>
    </w:p>
    <w:p>
      <w:pPr>
        <w:spacing w:line="400" w:lineRule="exact"/>
        <w:ind w:firstLine="480" w:firstLineChars="200"/>
        <w:rPr>
          <w:rFonts w:ascii="宋体" w:cs="宋体"/>
          <w:sz w:val="24"/>
          <w:szCs w:val="24"/>
        </w:rPr>
      </w:pPr>
      <w:r>
        <w:rPr>
          <w:rFonts w:hint="eastAsia" w:ascii="宋体" w:cs="宋体"/>
          <w:sz w:val="24"/>
          <w:szCs w:val="24"/>
        </w:rPr>
        <w:t xml:space="preserve"> 除以上情形之外，不得否决投标。因不可预测情形需否决投标的，评标委员会应慎重作出决定。 </w:t>
      </w:r>
    </w:p>
    <w:p>
      <w:pPr>
        <w:spacing w:line="400" w:lineRule="exact"/>
        <w:ind w:firstLine="643" w:firstLineChars="200"/>
        <w:rPr>
          <w:rFonts w:ascii="黑体" w:eastAsia="黑体"/>
          <w:b/>
          <w:sz w:val="32"/>
          <w:szCs w:val="32"/>
        </w:rPr>
      </w:pPr>
    </w:p>
    <w:p>
      <w:pPr>
        <w:jc w:val="center"/>
        <w:rPr>
          <w:b/>
          <w:bCs/>
          <w:sz w:val="28"/>
          <w:szCs w:val="28"/>
        </w:rPr>
      </w:pPr>
      <w:r>
        <w:rPr>
          <w:rFonts w:hint="eastAsia"/>
          <w:b/>
          <w:bCs/>
          <w:sz w:val="28"/>
          <w:szCs w:val="28"/>
        </w:rPr>
        <w:t>评标办法前附表1（初步评审表）</w:t>
      </w:r>
    </w:p>
    <w:tbl>
      <w:tblPr>
        <w:tblStyle w:val="46"/>
        <w:tblW w:w="932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16"/>
        <w:gridCol w:w="2062"/>
        <w:gridCol w:w="60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19" w:hRule="atLeast"/>
          <w:jc w:val="center"/>
        </w:trPr>
        <w:tc>
          <w:tcPr>
            <w:tcW w:w="1216" w:type="dxa"/>
            <w:tcBorders>
              <w:top w:val="single" w:color="auto" w:sz="4" w:space="0"/>
              <w:bottom w:val="single" w:color="auto" w:sz="4" w:space="0"/>
              <w:right w:val="single" w:color="auto" w:sz="4" w:space="0"/>
            </w:tcBorders>
            <w:vAlign w:val="center"/>
          </w:tcPr>
          <w:p>
            <w:pPr>
              <w:spacing w:before="100" w:beforeAutospacing="1" w:after="100" w:afterAutospacing="1"/>
              <w:jc w:val="center"/>
              <w:rPr>
                <w:rFonts w:ascii="宋体" w:cs="宋体"/>
              </w:rPr>
            </w:pPr>
            <w:r>
              <w:rPr>
                <w:rFonts w:hint="eastAsia" w:ascii="宋体" w:cs="宋体"/>
              </w:rPr>
              <w:t>评审内容</w:t>
            </w:r>
          </w:p>
        </w:tc>
        <w:tc>
          <w:tcPr>
            <w:tcW w:w="206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cs="宋体"/>
              </w:rPr>
            </w:pPr>
            <w:r>
              <w:rPr>
                <w:rFonts w:hint="eastAsia" w:ascii="宋体" w:cs="宋体"/>
              </w:rPr>
              <w:t>评审因素</w:t>
            </w:r>
          </w:p>
        </w:tc>
        <w:tc>
          <w:tcPr>
            <w:tcW w:w="6044" w:type="dxa"/>
            <w:tcBorders>
              <w:top w:val="single" w:color="auto" w:sz="4" w:space="0"/>
              <w:left w:val="single" w:color="auto" w:sz="4" w:space="0"/>
              <w:bottom w:val="single" w:color="auto" w:sz="4" w:space="0"/>
            </w:tcBorders>
            <w:vAlign w:val="center"/>
          </w:tcPr>
          <w:p>
            <w:pPr>
              <w:spacing w:before="100" w:beforeAutospacing="1" w:after="100" w:afterAutospacing="1"/>
              <w:jc w:val="center"/>
              <w:rPr>
                <w:rFonts w:ascii="宋体" w:cs="宋体"/>
              </w:rPr>
            </w:pPr>
            <w:r>
              <w:rPr>
                <w:rFonts w:hint="eastAsia" w:ascii="宋体" w:cs="宋体"/>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46" w:hRule="atLeast"/>
          <w:jc w:val="center"/>
        </w:trPr>
        <w:tc>
          <w:tcPr>
            <w:tcW w:w="1216" w:type="dxa"/>
            <w:vMerge w:val="restart"/>
            <w:tcBorders>
              <w:right w:val="single" w:color="auto" w:sz="4" w:space="0"/>
            </w:tcBorders>
            <w:vAlign w:val="center"/>
          </w:tcPr>
          <w:p>
            <w:pPr>
              <w:rPr>
                <w:rFonts w:ascii="宋体" w:cs="宋体"/>
              </w:rPr>
            </w:pPr>
            <w:r>
              <w:rPr>
                <w:rFonts w:hint="eastAsia" w:ascii="宋体" w:cs="宋体"/>
              </w:rPr>
              <w:t>符合性评审</w:t>
            </w:r>
          </w:p>
        </w:tc>
        <w:tc>
          <w:tcPr>
            <w:tcW w:w="206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ascii="宋体" w:cs="宋体"/>
              </w:rPr>
            </w:pPr>
            <w:r>
              <w:rPr>
                <w:rFonts w:hint="eastAsia" w:ascii="宋体" w:cs="宋体"/>
              </w:rPr>
              <w:t>投标人名称</w:t>
            </w:r>
          </w:p>
        </w:tc>
        <w:tc>
          <w:tcPr>
            <w:tcW w:w="6044" w:type="dxa"/>
            <w:tcBorders>
              <w:top w:val="single" w:color="auto" w:sz="4" w:space="0"/>
              <w:left w:val="single" w:color="auto" w:sz="4" w:space="0"/>
              <w:bottom w:val="single" w:color="auto" w:sz="4" w:space="0"/>
            </w:tcBorders>
          </w:tcPr>
          <w:p>
            <w:pPr>
              <w:spacing w:before="100" w:beforeAutospacing="1" w:after="100" w:afterAutospacing="1" w:line="360" w:lineRule="auto"/>
              <w:rPr>
                <w:rFonts w:ascii="宋体" w:cs="宋体"/>
              </w:rPr>
            </w:pPr>
            <w:r>
              <w:rPr>
                <w:rFonts w:hint="eastAsia" w:ascii="宋体" w:cs="宋体"/>
              </w:rPr>
              <w:t>与有效的营业执照、组织机构代码、税务登记证副本（或有效的三证合一的营业执照副本）资格证明材料等一致。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34" w:hRule="atLeast"/>
          <w:jc w:val="center"/>
        </w:trPr>
        <w:tc>
          <w:tcPr>
            <w:tcW w:w="1216" w:type="dxa"/>
            <w:vMerge w:val="continue"/>
            <w:tcBorders>
              <w:right w:val="single" w:color="auto" w:sz="4" w:space="0"/>
            </w:tcBorders>
            <w:vAlign w:val="center"/>
          </w:tcPr>
          <w:p/>
        </w:tc>
        <w:tc>
          <w:tcPr>
            <w:tcW w:w="206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ascii="宋体" w:cs="宋体"/>
              </w:rPr>
            </w:pPr>
            <w:r>
              <w:rPr>
                <w:rFonts w:hint="eastAsia" w:ascii="宋体" w:cs="宋体"/>
              </w:rPr>
              <w:t>投标函签字或盖章</w:t>
            </w:r>
          </w:p>
        </w:tc>
        <w:tc>
          <w:tcPr>
            <w:tcW w:w="6044" w:type="dxa"/>
            <w:tcBorders>
              <w:top w:val="single" w:color="auto" w:sz="4" w:space="0"/>
              <w:left w:val="single" w:color="auto" w:sz="4" w:space="0"/>
              <w:bottom w:val="single" w:color="auto" w:sz="4" w:space="0"/>
            </w:tcBorders>
          </w:tcPr>
          <w:p>
            <w:pPr>
              <w:spacing w:before="100" w:beforeAutospacing="1" w:after="100" w:afterAutospacing="1" w:line="360" w:lineRule="auto"/>
              <w:rPr>
                <w:rFonts w:ascii="宋体" w:cs="宋体"/>
              </w:rPr>
            </w:pPr>
            <w:r>
              <w:rPr>
                <w:rFonts w:hint="eastAsia" w:ascii="宋体" w:cs="宋体"/>
              </w:rPr>
              <w:t>符合“投标函”格式要求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2" w:hRule="atLeast"/>
          <w:jc w:val="center"/>
        </w:trPr>
        <w:tc>
          <w:tcPr>
            <w:tcW w:w="1216" w:type="dxa"/>
            <w:vMerge w:val="continue"/>
            <w:tcBorders>
              <w:right w:val="single" w:color="auto" w:sz="4" w:space="0"/>
            </w:tcBorders>
            <w:vAlign w:val="center"/>
          </w:tcPr>
          <w:p/>
        </w:tc>
        <w:tc>
          <w:tcPr>
            <w:tcW w:w="206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ascii="宋体" w:cs="宋体"/>
              </w:rPr>
            </w:pPr>
            <w:r>
              <w:rPr>
                <w:rFonts w:hint="eastAsia" w:ascii="宋体" w:cs="宋体"/>
              </w:rPr>
              <w:t>报价唯一</w:t>
            </w:r>
          </w:p>
        </w:tc>
        <w:tc>
          <w:tcPr>
            <w:tcW w:w="6044" w:type="dxa"/>
            <w:tcBorders>
              <w:top w:val="single" w:color="auto" w:sz="4" w:space="0"/>
              <w:left w:val="single" w:color="auto" w:sz="4" w:space="0"/>
              <w:bottom w:val="single" w:color="auto" w:sz="4" w:space="0"/>
            </w:tcBorders>
          </w:tcPr>
          <w:p>
            <w:pPr>
              <w:spacing w:before="100" w:beforeAutospacing="1" w:after="100" w:afterAutospacing="1" w:line="360" w:lineRule="auto"/>
              <w:rPr>
                <w:rFonts w:ascii="宋体" w:cs="宋体"/>
              </w:rPr>
            </w:pPr>
            <w:r>
              <w:rPr>
                <w:rFonts w:hint="eastAsia" w:ascii="宋体" w:cs="宋体"/>
              </w:rPr>
              <w:t>只能有一个有效的承销费费率报价和发行利率区间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43" w:hRule="atLeast"/>
          <w:jc w:val="center"/>
        </w:trPr>
        <w:tc>
          <w:tcPr>
            <w:tcW w:w="1216" w:type="dxa"/>
            <w:vMerge w:val="restart"/>
            <w:tcBorders>
              <w:top w:val="single" w:color="auto" w:sz="4" w:space="0"/>
              <w:right w:val="single" w:color="auto" w:sz="4" w:space="0"/>
            </w:tcBorders>
            <w:vAlign w:val="center"/>
          </w:tcPr>
          <w:p>
            <w:pPr>
              <w:spacing w:before="100" w:beforeAutospacing="1" w:after="100" w:afterAutospacing="1"/>
              <w:jc w:val="center"/>
              <w:rPr>
                <w:rFonts w:ascii="宋体" w:cs="宋体"/>
              </w:rPr>
            </w:pPr>
            <w:r>
              <w:rPr>
                <w:rFonts w:hint="eastAsia" w:ascii="宋体" w:cs="宋体"/>
              </w:rPr>
              <w:t>资格评审</w:t>
            </w:r>
          </w:p>
        </w:tc>
        <w:tc>
          <w:tcPr>
            <w:tcW w:w="206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ascii="宋体" w:cs="宋体"/>
              </w:rPr>
            </w:pPr>
            <w:r>
              <w:rPr>
                <w:rFonts w:hint="eastAsia" w:ascii="宋体" w:cs="宋体"/>
              </w:rPr>
              <w:t>营业执照</w:t>
            </w:r>
          </w:p>
        </w:tc>
        <w:tc>
          <w:tcPr>
            <w:tcW w:w="6044" w:type="dxa"/>
            <w:vMerge w:val="restart"/>
            <w:tcBorders>
              <w:top w:val="single" w:color="auto" w:sz="4" w:space="0"/>
              <w:left w:val="single" w:color="auto" w:sz="4" w:space="0"/>
            </w:tcBorders>
          </w:tcPr>
          <w:p>
            <w:pPr>
              <w:spacing w:before="100" w:beforeAutospacing="1" w:after="100" w:afterAutospacing="1" w:line="360" w:lineRule="auto"/>
              <w:rPr>
                <w:rFonts w:ascii="宋体" w:cs="宋体"/>
              </w:rPr>
            </w:pPr>
            <w:r>
              <w:rPr>
                <w:rFonts w:hint="eastAsia" w:ascii="宋体" w:cs="宋体"/>
              </w:rPr>
              <w:t>具备有效的营业执照、组织机构代码、税务登记证副本（或具备有效的三证合一的营业执照副本），且经营范围符合投标人资格要求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43" w:hRule="atLeast"/>
          <w:jc w:val="center"/>
        </w:trPr>
        <w:tc>
          <w:tcPr>
            <w:tcW w:w="1216" w:type="dxa"/>
            <w:vMerge w:val="continue"/>
            <w:tcBorders>
              <w:right w:val="single" w:color="auto" w:sz="4" w:space="0"/>
            </w:tcBorders>
            <w:vAlign w:val="center"/>
          </w:tcPr>
          <w:p/>
        </w:tc>
        <w:tc>
          <w:tcPr>
            <w:tcW w:w="206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ascii="宋体" w:cs="宋体"/>
              </w:rPr>
            </w:pPr>
            <w:r>
              <w:rPr>
                <w:rFonts w:hint="eastAsia" w:ascii="宋体" w:cs="宋体"/>
                <w:bCs/>
              </w:rPr>
              <w:t>组织机构代码证</w:t>
            </w:r>
          </w:p>
        </w:tc>
        <w:tc>
          <w:tcPr>
            <w:tcW w:w="6044" w:type="dxa"/>
            <w:vMerge w:val="continue"/>
            <w:tcBorders>
              <w:left w:val="single" w:color="auto" w:sz="4" w:space="0"/>
            </w:tcBorders>
          </w:tcPr>
          <w:p>
            <w:pPr>
              <w:spacing w:before="100" w:beforeAutospacing="1" w:after="100" w:afterAutospacing="1" w:line="360" w:lineRule="auto"/>
              <w:rPr>
                <w:rFonts w:asci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43" w:hRule="atLeast"/>
          <w:jc w:val="center"/>
        </w:trPr>
        <w:tc>
          <w:tcPr>
            <w:tcW w:w="1216" w:type="dxa"/>
            <w:vMerge w:val="continue"/>
            <w:tcBorders>
              <w:right w:val="single" w:color="auto" w:sz="4" w:space="0"/>
            </w:tcBorders>
            <w:vAlign w:val="center"/>
          </w:tcPr>
          <w:p/>
        </w:tc>
        <w:tc>
          <w:tcPr>
            <w:tcW w:w="206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ascii="宋体" w:cs="宋体"/>
              </w:rPr>
            </w:pPr>
            <w:r>
              <w:rPr>
                <w:rFonts w:hint="eastAsia" w:ascii="宋体" w:cs="宋体"/>
                <w:bCs/>
              </w:rPr>
              <w:t>税务登记证</w:t>
            </w:r>
          </w:p>
        </w:tc>
        <w:tc>
          <w:tcPr>
            <w:tcW w:w="6044" w:type="dxa"/>
            <w:vMerge w:val="continue"/>
            <w:tcBorders>
              <w:left w:val="single" w:color="auto" w:sz="4" w:space="0"/>
              <w:bottom w:val="single" w:color="auto" w:sz="4" w:space="0"/>
            </w:tcBorders>
          </w:tcPr>
          <w:p>
            <w:pPr>
              <w:spacing w:before="100" w:beforeAutospacing="1" w:after="100" w:afterAutospacing="1" w:line="360" w:lineRule="auto"/>
              <w:rPr>
                <w:rFonts w:asci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138" w:hRule="atLeast"/>
          <w:jc w:val="center"/>
        </w:trPr>
        <w:tc>
          <w:tcPr>
            <w:tcW w:w="1216" w:type="dxa"/>
            <w:vMerge w:val="continue"/>
            <w:tcBorders>
              <w:right w:val="single" w:color="auto" w:sz="4" w:space="0"/>
            </w:tcBorders>
            <w:vAlign w:val="center"/>
          </w:tcPr>
          <w:p/>
        </w:tc>
        <w:tc>
          <w:tcPr>
            <w:tcW w:w="2062" w:type="dxa"/>
            <w:tcBorders>
              <w:top w:val="single" w:color="auto" w:sz="4" w:space="0"/>
              <w:left w:val="single" w:color="auto" w:sz="4" w:space="0"/>
              <w:right w:val="single" w:color="auto" w:sz="4" w:space="0"/>
            </w:tcBorders>
            <w:vAlign w:val="center"/>
          </w:tcPr>
          <w:p>
            <w:pPr>
              <w:spacing w:before="100" w:beforeAutospacing="1" w:after="100" w:afterAutospacing="1" w:line="360" w:lineRule="auto"/>
              <w:jc w:val="center"/>
              <w:rPr>
                <w:rFonts w:ascii="宋体" w:cs="宋体"/>
                <w:bCs/>
              </w:rPr>
            </w:pPr>
            <w:r>
              <w:rPr>
                <w:rFonts w:hint="eastAsia" w:cs="宋体"/>
                <w:color w:val="000000"/>
                <w:shd w:val="clear" w:color="auto" w:fill="FFFFFF"/>
              </w:rPr>
              <w:t>经营证券业务许可证</w:t>
            </w:r>
          </w:p>
        </w:tc>
        <w:tc>
          <w:tcPr>
            <w:tcW w:w="6044" w:type="dxa"/>
            <w:tcBorders>
              <w:top w:val="single" w:color="auto" w:sz="4" w:space="0"/>
              <w:left w:val="single" w:color="auto" w:sz="4" w:space="0"/>
              <w:bottom w:val="single" w:color="auto" w:sz="4" w:space="0"/>
            </w:tcBorders>
          </w:tcPr>
          <w:p>
            <w:pPr>
              <w:spacing w:before="100" w:beforeAutospacing="1" w:after="100" w:afterAutospacing="1" w:line="360" w:lineRule="auto"/>
              <w:rPr>
                <w:rFonts w:ascii="宋体" w:cs="宋体"/>
                <w:color w:val="FF0000"/>
                <w:highlight w:val="yellow"/>
              </w:rPr>
            </w:pPr>
            <w:r>
              <w:rPr>
                <w:rFonts w:hint="eastAsia" w:ascii="宋体" w:cs="宋体"/>
              </w:rPr>
              <w:t>具有有效的中国证券监督管理委员会核发的《经营证券业务许可证》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43" w:hRule="atLeast"/>
          <w:jc w:val="center"/>
        </w:trPr>
        <w:tc>
          <w:tcPr>
            <w:tcW w:w="1216" w:type="dxa"/>
            <w:tcBorders>
              <w:right w:val="single" w:color="auto" w:sz="4" w:space="0"/>
            </w:tcBorders>
            <w:vAlign w:val="center"/>
          </w:tcPr>
          <w:p/>
        </w:tc>
        <w:tc>
          <w:tcPr>
            <w:tcW w:w="206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ascii="宋体" w:cs="宋体"/>
              </w:rPr>
            </w:pPr>
            <w:r>
              <w:rPr>
                <w:rFonts w:hint="eastAsia" w:ascii="宋体" w:cs="宋体"/>
              </w:rPr>
              <w:t>投标保证金</w:t>
            </w:r>
          </w:p>
        </w:tc>
        <w:tc>
          <w:tcPr>
            <w:tcW w:w="6044" w:type="dxa"/>
            <w:tcBorders>
              <w:top w:val="single" w:color="auto" w:sz="4" w:space="0"/>
              <w:left w:val="single" w:color="auto" w:sz="4" w:space="0"/>
              <w:bottom w:val="single" w:color="auto" w:sz="4" w:space="0"/>
            </w:tcBorders>
            <w:vAlign w:val="center"/>
          </w:tcPr>
          <w:p>
            <w:pPr>
              <w:spacing w:before="100" w:beforeAutospacing="1" w:after="100" w:afterAutospacing="1" w:line="240" w:lineRule="exact"/>
              <w:rPr>
                <w:rFonts w:ascii="宋体" w:cs="宋体"/>
              </w:rPr>
            </w:pPr>
            <w:r>
              <w:rPr>
                <w:rFonts w:hint="eastAsia" w:ascii="宋体" w:cs="宋体"/>
              </w:rPr>
              <w:t>具有有效的转账凭证</w:t>
            </w:r>
          </w:p>
        </w:tc>
      </w:tr>
    </w:tbl>
    <w:p>
      <w:pPr>
        <w:rPr>
          <w:b/>
        </w:rPr>
      </w:pPr>
    </w:p>
    <w:p>
      <w:pPr>
        <w:ind w:firstLine="310" w:firstLineChars="147"/>
        <w:rPr>
          <w:b/>
        </w:rPr>
      </w:pPr>
      <w:r>
        <w:rPr>
          <w:rFonts w:hint="eastAsia"/>
          <w:b/>
        </w:rPr>
        <w:t>以上参与评审的证书、证件等资料复印件须加盖单位公章胶装在投标文件中，但必须保证复印件关键内容清晰可见，否则因无法识别的导致的一切责任均由投标人负责。</w:t>
      </w:r>
    </w:p>
    <w:p>
      <w:pPr>
        <w:ind w:firstLine="435"/>
        <w:jc w:val="center"/>
        <w:outlineLvl w:val="0"/>
        <w:rPr>
          <w:rFonts w:ascii="黑体" w:eastAsia="黑体"/>
          <w:b/>
          <w:sz w:val="32"/>
          <w:szCs w:val="32"/>
        </w:rPr>
      </w:pPr>
    </w:p>
    <w:p>
      <w:pPr>
        <w:outlineLvl w:val="0"/>
        <w:rPr>
          <w:rFonts w:ascii="黑体" w:eastAsia="黑体"/>
          <w:b/>
          <w:sz w:val="32"/>
          <w:szCs w:val="32"/>
        </w:rPr>
      </w:pPr>
    </w:p>
    <w:p>
      <w:pPr>
        <w:outlineLvl w:val="0"/>
        <w:rPr>
          <w:rFonts w:ascii="黑体" w:eastAsia="黑体"/>
          <w:b/>
          <w:sz w:val="32"/>
          <w:szCs w:val="32"/>
        </w:rPr>
      </w:pPr>
    </w:p>
    <w:p>
      <w:pPr>
        <w:outlineLvl w:val="0"/>
        <w:rPr>
          <w:rFonts w:ascii="黑体" w:eastAsia="黑体"/>
          <w:b/>
          <w:sz w:val="32"/>
          <w:szCs w:val="32"/>
        </w:rPr>
      </w:pPr>
    </w:p>
    <w:p>
      <w:pPr>
        <w:outlineLvl w:val="0"/>
        <w:rPr>
          <w:rFonts w:ascii="黑体" w:eastAsia="黑体"/>
          <w:b/>
          <w:sz w:val="32"/>
          <w:szCs w:val="32"/>
        </w:rPr>
      </w:pPr>
    </w:p>
    <w:p>
      <w:pPr>
        <w:outlineLvl w:val="0"/>
        <w:rPr>
          <w:rFonts w:ascii="黑体" w:eastAsia="黑体"/>
          <w:b/>
          <w:sz w:val="32"/>
          <w:szCs w:val="32"/>
        </w:rPr>
      </w:pPr>
    </w:p>
    <w:p>
      <w:pPr>
        <w:outlineLvl w:val="0"/>
        <w:rPr>
          <w:rFonts w:ascii="黑体" w:eastAsia="黑体"/>
          <w:b/>
          <w:sz w:val="32"/>
          <w:szCs w:val="32"/>
        </w:rPr>
      </w:pPr>
    </w:p>
    <w:p>
      <w:pPr>
        <w:outlineLvl w:val="0"/>
        <w:rPr>
          <w:rFonts w:ascii="黑体" w:eastAsia="黑体"/>
          <w:b/>
          <w:sz w:val="32"/>
          <w:szCs w:val="32"/>
        </w:rPr>
      </w:pPr>
    </w:p>
    <w:p>
      <w:pPr>
        <w:outlineLvl w:val="0"/>
        <w:rPr>
          <w:rFonts w:ascii="黑体" w:eastAsia="黑体"/>
          <w:b/>
          <w:sz w:val="32"/>
          <w:szCs w:val="32"/>
        </w:rPr>
      </w:pPr>
    </w:p>
    <w:p>
      <w:pPr>
        <w:shd w:val="clear" w:color="auto" w:fill="FFFFFF"/>
        <w:tabs>
          <w:tab w:val="left" w:pos="828"/>
          <w:tab w:val="left" w:pos="1908"/>
          <w:tab w:val="left" w:pos="4876"/>
        </w:tabs>
        <w:snapToGrid w:val="0"/>
        <w:spacing w:before="100" w:beforeAutospacing="1" w:after="100" w:afterAutospacing="1"/>
        <w:jc w:val="center"/>
        <w:rPr>
          <w:rFonts w:ascii="宋体"/>
          <w:b/>
          <w:sz w:val="28"/>
          <w:szCs w:val="28"/>
        </w:rPr>
      </w:pPr>
      <w:r>
        <w:rPr>
          <w:rFonts w:hint="eastAsia"/>
          <w:b/>
          <w:bCs/>
          <w:sz w:val="28"/>
          <w:szCs w:val="28"/>
        </w:rPr>
        <w:t>评标办法前附表2（</w:t>
      </w:r>
      <w:r>
        <w:rPr>
          <w:rFonts w:hint="eastAsia" w:ascii="宋体"/>
          <w:b/>
          <w:sz w:val="28"/>
          <w:szCs w:val="28"/>
        </w:rPr>
        <w:t>综合评审表）</w:t>
      </w:r>
    </w:p>
    <w:tbl>
      <w:tblPr>
        <w:tblStyle w:val="46"/>
        <w:tblW w:w="10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78"/>
        <w:gridCol w:w="1200"/>
        <w:gridCol w:w="960"/>
        <w:gridCol w:w="7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678"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评审要素</w:t>
            </w:r>
          </w:p>
        </w:tc>
        <w:tc>
          <w:tcPr>
            <w:tcW w:w="1200"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评审项目</w:t>
            </w:r>
          </w:p>
        </w:tc>
        <w:tc>
          <w:tcPr>
            <w:tcW w:w="960"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分值</w:t>
            </w:r>
          </w:p>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（100分）</w:t>
            </w:r>
          </w:p>
        </w:tc>
        <w:tc>
          <w:tcPr>
            <w:tcW w:w="724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10" w:hRule="atLeast"/>
        </w:trPr>
        <w:tc>
          <w:tcPr>
            <w:tcW w:w="678" w:type="dxa"/>
            <w:vMerge w:val="restart"/>
            <w:vAlign w:val="center"/>
          </w:tcPr>
          <w:p>
            <w:pPr>
              <w:jc w:val="center"/>
              <w:rPr>
                <w:rFonts w:ascii="宋体" w:hAnsi="宋体" w:cs="宋体"/>
                <w:color w:val="000000"/>
                <w:sz w:val="22"/>
                <w:szCs w:val="22"/>
              </w:rPr>
            </w:pPr>
            <w:r>
              <w:rPr>
                <w:rFonts w:hint="eastAsia" w:ascii="宋体" w:hAnsi="宋体" w:cs="宋体"/>
                <w:color w:val="000000"/>
                <w:sz w:val="22"/>
                <w:szCs w:val="22"/>
              </w:rPr>
              <w:t>企业实力（35分）</w:t>
            </w:r>
          </w:p>
        </w:tc>
        <w:tc>
          <w:tcPr>
            <w:tcW w:w="1200" w:type="dxa"/>
            <w:vAlign w:val="center"/>
          </w:tcPr>
          <w:p>
            <w:pPr>
              <w:widowControl/>
              <w:jc w:val="center"/>
              <w:textAlignment w:val="center"/>
              <w:rPr>
                <w:rFonts w:ascii="宋体" w:hAnsi="宋体" w:cs="宋体"/>
                <w:color w:val="000000"/>
                <w:sz w:val="22"/>
                <w:szCs w:val="22"/>
              </w:rPr>
            </w:pPr>
            <w:r>
              <w:rPr>
                <w:rFonts w:hint="eastAsia" w:ascii="宋体" w:hAnsi="宋体" w:cs="宋体"/>
              </w:rPr>
              <w:t>业绩数量</w:t>
            </w:r>
          </w:p>
        </w:tc>
        <w:tc>
          <w:tcPr>
            <w:tcW w:w="960"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满分15分</w:t>
            </w:r>
          </w:p>
        </w:tc>
        <w:tc>
          <w:tcPr>
            <w:tcW w:w="7245" w:type="dxa"/>
            <w:vAlign w:val="center"/>
          </w:tcPr>
          <w:p>
            <w:pPr>
              <w:widowControl/>
              <w:jc w:val="left"/>
              <w:textAlignment w:val="center"/>
              <w:rPr>
                <w:rFonts w:ascii="宋体" w:hAnsi="宋体" w:cs="宋体"/>
                <w:kern w:val="0"/>
                <w:sz w:val="22"/>
                <w:szCs w:val="22"/>
              </w:rPr>
            </w:pPr>
            <w:r>
              <w:rPr>
                <w:rFonts w:hint="eastAsia" w:ascii="宋体" w:hAnsi="宋体" w:cs="宋体"/>
              </w:rPr>
              <w:t>近二年（自公告发布之日起向前追溯二年，以发布核准发行批复时间为准）内完成过10亿元及以上公司债券的业绩，每提供一项</w:t>
            </w:r>
            <w:r>
              <w:rPr>
                <w:rFonts w:hint="eastAsia" w:ascii="宋体" w:hAnsi="宋体" w:cs="宋体"/>
                <w:kern w:val="0"/>
                <w:sz w:val="22"/>
                <w:szCs w:val="22"/>
              </w:rPr>
              <w:t>，得0.3分；</w:t>
            </w:r>
          </w:p>
          <w:p>
            <w:pPr>
              <w:widowControl/>
              <w:jc w:val="left"/>
              <w:textAlignment w:val="center"/>
              <w:rPr>
                <w:rFonts w:ascii="宋体" w:hAnsi="宋体" w:cs="宋体"/>
                <w:b/>
                <w:bCs/>
                <w:kern w:val="0"/>
                <w:sz w:val="22"/>
                <w:szCs w:val="22"/>
              </w:rPr>
            </w:pPr>
          </w:p>
          <w:p>
            <w:pPr>
              <w:widowControl/>
              <w:jc w:val="left"/>
              <w:textAlignment w:val="center"/>
              <w:rPr>
                <w:rFonts w:ascii="宋体" w:hAnsi="宋体" w:cs="宋体"/>
                <w:b/>
                <w:bCs/>
              </w:rPr>
            </w:pPr>
            <w:r>
              <w:rPr>
                <w:rFonts w:hint="eastAsia" w:ascii="宋体" w:hAnsi="宋体" w:cs="宋体"/>
                <w:b/>
                <w:bCs/>
              </w:rPr>
              <w:t>公开发行的须提供证监会官网核准发行批复文件（或该网站公告截图并加盖单位公章）胶装在投标文件。</w:t>
            </w:r>
          </w:p>
          <w:p>
            <w:pPr>
              <w:widowControl/>
              <w:jc w:val="left"/>
              <w:textAlignment w:val="center"/>
              <w:rPr>
                <w:rFonts w:ascii="宋体" w:hAnsi="宋体" w:cs="宋体"/>
                <w:color w:val="000000"/>
                <w:sz w:val="22"/>
                <w:szCs w:val="22"/>
              </w:rPr>
            </w:pPr>
            <w:r>
              <w:rPr>
                <w:rFonts w:hint="eastAsia" w:ascii="宋体" w:hAnsi="宋体" w:cs="宋体"/>
                <w:b/>
                <w:color w:val="000000"/>
                <w:sz w:val="22"/>
                <w:szCs w:val="22"/>
              </w:rPr>
              <w:t>私募发行的</w:t>
            </w:r>
            <w:r>
              <w:rPr>
                <w:rFonts w:hint="eastAsia" w:ascii="宋体" w:hAnsi="宋体" w:cs="宋体"/>
                <w:b/>
                <w:bCs/>
              </w:rPr>
              <w:t>须提供证券交易所出具符合转让条件的无异议函复印件加盖单位公章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10" w:hRule="atLeast"/>
        </w:trPr>
        <w:tc>
          <w:tcPr>
            <w:tcW w:w="678" w:type="dxa"/>
            <w:vMerge w:val="continue"/>
            <w:vAlign w:val="center"/>
          </w:tcPr>
          <w:p>
            <w:pPr>
              <w:jc w:val="center"/>
              <w:rPr>
                <w:rFonts w:ascii="宋体" w:hAnsi="宋体" w:cs="宋体"/>
                <w:color w:val="000000"/>
                <w:sz w:val="22"/>
                <w:szCs w:val="22"/>
              </w:rPr>
            </w:pPr>
          </w:p>
        </w:tc>
        <w:tc>
          <w:tcPr>
            <w:tcW w:w="1200" w:type="dxa"/>
            <w:vAlign w:val="center"/>
          </w:tcPr>
          <w:p>
            <w:pPr>
              <w:widowControl/>
              <w:jc w:val="left"/>
              <w:textAlignment w:val="center"/>
              <w:rPr>
                <w:rFonts w:ascii="宋体" w:hAnsi="宋体" w:cs="宋体"/>
              </w:rPr>
            </w:pPr>
            <w:r>
              <w:rPr>
                <w:rFonts w:hint="eastAsia" w:ascii="宋体" w:hAnsi="宋体" w:cs="宋体"/>
              </w:rPr>
              <w:t>平均发行利率</w:t>
            </w:r>
          </w:p>
          <w:p>
            <w:pPr>
              <w:widowControl/>
              <w:jc w:val="left"/>
              <w:textAlignment w:val="center"/>
              <w:rPr>
                <w:rFonts w:ascii="宋体" w:hAnsi="宋体" w:cs="宋体"/>
                <w:color w:val="000000"/>
                <w:sz w:val="22"/>
                <w:szCs w:val="22"/>
              </w:rPr>
            </w:pPr>
            <w:r>
              <w:rPr>
                <w:rFonts w:hint="eastAsia" w:ascii="宋体" w:hAnsi="宋体" w:cs="宋体"/>
                <w:color w:val="000000"/>
                <w:sz w:val="22"/>
                <w:szCs w:val="22"/>
              </w:rPr>
              <w:t>（同期限，信用级别AA）</w:t>
            </w:r>
          </w:p>
        </w:tc>
        <w:tc>
          <w:tcPr>
            <w:tcW w:w="960"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满分15分</w:t>
            </w:r>
          </w:p>
        </w:tc>
        <w:tc>
          <w:tcPr>
            <w:tcW w:w="7245" w:type="dxa"/>
            <w:vAlign w:val="center"/>
          </w:tcPr>
          <w:p>
            <w:pPr>
              <w:widowControl/>
              <w:jc w:val="left"/>
              <w:textAlignment w:val="center"/>
              <w:rPr>
                <w:rFonts w:ascii="宋体" w:hAnsi="宋体" w:cs="宋体"/>
              </w:rPr>
            </w:pPr>
            <w:r>
              <w:rPr>
                <w:rFonts w:hint="eastAsia" w:ascii="宋体" w:hAnsi="宋体" w:cs="宋体"/>
              </w:rPr>
              <w:t>所提供有效业绩数量范围内，计算指数化平均实际发行利率。</w:t>
            </w:r>
          </w:p>
          <w:p>
            <w:pPr>
              <w:widowControl/>
              <w:jc w:val="left"/>
              <w:textAlignment w:val="center"/>
              <w:rPr>
                <w:rFonts w:ascii="宋体" w:hAnsi="宋体" w:cs="宋体"/>
              </w:rPr>
            </w:pPr>
            <w:r>
              <w:rPr>
                <w:rFonts w:hint="eastAsia" w:ascii="宋体" w:hAnsi="宋体" w:cs="宋体"/>
              </w:rPr>
              <w:t>所有投标人中指数化平均发行利率最低的为评标基础值a，得15分；其它投标人指数化平均发行利率与评标基础值a相比，每高20bp扣1分，扣完为止。</w:t>
            </w:r>
          </w:p>
          <w:p>
            <w:pPr>
              <w:widowControl/>
              <w:jc w:val="left"/>
              <w:textAlignment w:val="center"/>
              <w:rPr>
                <w:rFonts w:ascii="宋体" w:hAnsi="宋体" w:cs="宋体"/>
              </w:rPr>
            </w:pPr>
            <w:r>
              <w:rPr>
                <w:rFonts w:hint="eastAsia" w:ascii="宋体" w:hAnsi="宋体" w:cs="宋体"/>
              </w:rPr>
              <w:t>说明：1bp=0.01%;</w:t>
            </w:r>
          </w:p>
          <w:p>
            <w:pPr>
              <w:widowControl/>
              <w:jc w:val="left"/>
              <w:textAlignment w:val="center"/>
              <w:rPr>
                <w:rFonts w:ascii="宋体" w:hAnsi="宋体" w:cs="宋体"/>
                <w:b/>
                <w:bCs/>
              </w:rPr>
            </w:pPr>
            <w:r>
              <w:rPr>
                <w:rFonts w:hint="eastAsia" w:ascii="宋体" w:hAnsi="宋体" w:cs="宋体"/>
                <w:b/>
                <w:bCs/>
              </w:rPr>
              <w:t>指数化平均发行利率=  ∑(单项业绩发行总额*</w:t>
            </w:r>
            <w:r>
              <w:rPr>
                <w:rFonts w:hint="eastAsia" w:ascii="Arial" w:hAnsi="Arial" w:cs="Arial"/>
                <w:b/>
                <w:bCs/>
              </w:rPr>
              <w:t>发行利率）/</w:t>
            </w:r>
            <w:r>
              <w:rPr>
                <w:rFonts w:hint="eastAsia" w:ascii="宋体" w:hAnsi="宋体" w:cs="宋体"/>
                <w:b/>
                <w:bCs/>
              </w:rPr>
              <w:t xml:space="preserve"> ∑(单项业绩发行总额）；</w:t>
            </w:r>
          </w:p>
          <w:p>
            <w:pPr>
              <w:widowControl/>
              <w:shd w:val="clear" w:color="auto" w:fill="FFFFFF"/>
              <w:spacing w:line="357" w:lineRule="atLeast"/>
              <w:jc w:val="left"/>
              <w:rPr>
                <w:rFonts w:ascii="宋体" w:hAnsi="宋体" w:cs="宋体"/>
                <w:b/>
                <w:bCs/>
              </w:rPr>
            </w:pPr>
            <w:r>
              <w:rPr>
                <w:rFonts w:hint="eastAsia" w:ascii="宋体" w:hAnsi="宋体" w:cs="宋体"/>
                <w:b/>
                <w:bCs/>
              </w:rPr>
              <w:t>指数化平均发行利率得分=15-1*（指数化平均发行利率-a)/0.2%；结果保留3位小数。</w:t>
            </w:r>
          </w:p>
          <w:p>
            <w:pPr>
              <w:widowControl/>
              <w:jc w:val="left"/>
              <w:textAlignment w:val="center"/>
              <w:rPr>
                <w:rFonts w:ascii="宋体" w:hAnsi="宋体" w:cs="宋体"/>
                <w:b/>
                <w:bCs/>
              </w:rPr>
            </w:pPr>
          </w:p>
          <w:p>
            <w:pPr>
              <w:widowControl/>
              <w:jc w:val="left"/>
              <w:textAlignment w:val="center"/>
              <w:rPr>
                <w:rFonts w:ascii="宋体" w:hAnsi="宋体" w:cs="宋体"/>
              </w:rPr>
            </w:pPr>
            <w:r>
              <w:rPr>
                <w:rFonts w:hint="eastAsia" w:ascii="宋体" w:hAnsi="宋体" w:cs="宋体"/>
                <w:b/>
                <w:bCs/>
              </w:rPr>
              <w:t>投标人还须提供发行人发布的公司债券发行结果公告文件复印件（或发行人网站公告截图）胶装在投标文件。（与拟发债券期限相同，发行人主体为AA的）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16" w:hRule="atLeast"/>
        </w:trPr>
        <w:tc>
          <w:tcPr>
            <w:tcW w:w="678" w:type="dxa"/>
            <w:vMerge w:val="continue"/>
            <w:vAlign w:val="center"/>
          </w:tcPr>
          <w:p>
            <w:pPr>
              <w:widowControl/>
              <w:jc w:val="center"/>
              <w:textAlignment w:val="center"/>
              <w:rPr>
                <w:rFonts w:ascii="宋体" w:hAnsi="宋体" w:cs="宋体"/>
                <w:color w:val="000000"/>
                <w:sz w:val="22"/>
                <w:szCs w:val="22"/>
              </w:rPr>
            </w:pPr>
          </w:p>
        </w:tc>
        <w:tc>
          <w:tcPr>
            <w:tcW w:w="1200" w:type="dxa"/>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企业净资产规模</w:t>
            </w:r>
          </w:p>
        </w:tc>
        <w:tc>
          <w:tcPr>
            <w:tcW w:w="960"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满分5分</w:t>
            </w:r>
          </w:p>
        </w:tc>
        <w:tc>
          <w:tcPr>
            <w:tcW w:w="7245" w:type="dxa"/>
            <w:vAlign w:val="center"/>
          </w:tcPr>
          <w:p>
            <w:pPr>
              <w:widowControl/>
              <w:jc w:val="left"/>
              <w:textAlignment w:val="center"/>
              <w:rPr>
                <w:rFonts w:ascii="宋体" w:hAnsi="宋体" w:cs="宋体"/>
                <w:sz w:val="22"/>
                <w:szCs w:val="22"/>
              </w:rPr>
            </w:pPr>
            <w:r>
              <w:rPr>
                <w:rFonts w:hint="eastAsia" w:ascii="宋体" w:hAnsi="宋体" w:cs="宋体"/>
                <w:sz w:val="22"/>
                <w:szCs w:val="22"/>
              </w:rPr>
              <w:t>投标人的净资产规模最大的为评标基础值b；</w:t>
            </w:r>
          </w:p>
          <w:p>
            <w:pPr>
              <w:widowControl/>
              <w:jc w:val="left"/>
              <w:textAlignment w:val="center"/>
              <w:rPr>
                <w:rFonts w:ascii="宋体" w:hAnsi="宋体" w:cs="宋体"/>
                <w:sz w:val="22"/>
                <w:szCs w:val="22"/>
              </w:rPr>
            </w:pPr>
            <w:r>
              <w:rPr>
                <w:rFonts w:hint="eastAsia" w:ascii="宋体" w:hAnsi="宋体" w:cs="宋体"/>
                <w:sz w:val="22"/>
                <w:szCs w:val="22"/>
              </w:rPr>
              <w:t>投标人的净资产规模得分=5*投标人的净资产规模/b结果保留3为小数；</w:t>
            </w:r>
          </w:p>
          <w:p>
            <w:pPr>
              <w:widowControl/>
              <w:jc w:val="left"/>
              <w:textAlignment w:val="center"/>
              <w:rPr>
                <w:rFonts w:ascii="宋体" w:hAnsi="宋体" w:cs="宋体"/>
                <w:sz w:val="22"/>
                <w:szCs w:val="22"/>
              </w:rPr>
            </w:pPr>
            <w:r>
              <w:rPr>
                <w:rFonts w:hint="eastAsia" w:ascii="宋体" w:hAnsi="宋体" w:cs="宋体"/>
                <w:sz w:val="22"/>
                <w:szCs w:val="22"/>
              </w:rPr>
              <w:t>提供2015年度经审计的财务报表复印件并加盖单位公章胶装在投标文件中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50" w:hRule="atLeast"/>
        </w:trPr>
        <w:tc>
          <w:tcPr>
            <w:tcW w:w="678" w:type="dxa"/>
            <w:vMerge w:val="restart"/>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投标报价</w:t>
            </w:r>
          </w:p>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（65分）</w:t>
            </w:r>
          </w:p>
          <w:p>
            <w:pPr>
              <w:widowControl/>
              <w:jc w:val="center"/>
              <w:textAlignment w:val="center"/>
              <w:rPr>
                <w:rFonts w:ascii="宋体" w:hAnsi="宋体" w:cs="宋体"/>
                <w:color w:val="000000"/>
                <w:sz w:val="22"/>
                <w:szCs w:val="22"/>
              </w:rPr>
            </w:pPr>
          </w:p>
          <w:p>
            <w:pPr>
              <w:widowControl/>
              <w:jc w:val="center"/>
              <w:textAlignment w:val="center"/>
              <w:rPr>
                <w:rFonts w:ascii="宋体" w:hAnsi="宋体" w:cs="宋体"/>
                <w:color w:val="000000"/>
                <w:sz w:val="22"/>
                <w:szCs w:val="22"/>
              </w:rPr>
            </w:pPr>
          </w:p>
        </w:tc>
        <w:tc>
          <w:tcPr>
            <w:tcW w:w="1200" w:type="dxa"/>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承销费费率报价（不含审计、评级、律师费）</w:t>
            </w:r>
          </w:p>
        </w:tc>
        <w:tc>
          <w:tcPr>
            <w:tcW w:w="960"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满分30分</w:t>
            </w:r>
          </w:p>
        </w:tc>
        <w:tc>
          <w:tcPr>
            <w:tcW w:w="7245" w:type="dxa"/>
            <w:vAlign w:val="center"/>
          </w:tcPr>
          <w:p>
            <w:pPr>
              <w:widowControl/>
              <w:jc w:val="left"/>
              <w:textAlignment w:val="center"/>
              <w:rPr>
                <w:rFonts w:ascii="宋体" w:hAnsi="宋体" w:cs="宋体"/>
                <w:sz w:val="22"/>
                <w:szCs w:val="22"/>
              </w:rPr>
            </w:pPr>
            <w:r>
              <w:rPr>
                <w:rFonts w:hint="eastAsia" w:ascii="宋体" w:hAnsi="宋体" w:cs="宋体"/>
                <w:sz w:val="22"/>
                <w:szCs w:val="22"/>
              </w:rPr>
              <w:t>有效承销费费率报价为不高于等于承销费费率报价限价（招标控制价），且不低于成本价的承销费费率报价；</w:t>
            </w:r>
          </w:p>
          <w:p>
            <w:pPr>
              <w:widowControl/>
              <w:jc w:val="left"/>
              <w:textAlignment w:val="center"/>
              <w:rPr>
                <w:rFonts w:ascii="宋体" w:hAnsi="宋体" w:cs="宋体"/>
                <w:sz w:val="22"/>
                <w:szCs w:val="22"/>
              </w:rPr>
            </w:pPr>
            <w:r>
              <w:rPr>
                <w:rFonts w:hint="eastAsia" w:ascii="宋体" w:hAnsi="宋体" w:cs="宋体"/>
                <w:sz w:val="22"/>
                <w:szCs w:val="22"/>
              </w:rPr>
              <w:t>有效承销费费率报价最低为评标基础值c；有效承销费费率报价最高为评标基础值d；</w:t>
            </w:r>
          </w:p>
          <w:p>
            <w:pPr>
              <w:widowControl/>
              <w:jc w:val="left"/>
              <w:textAlignment w:val="center"/>
              <w:rPr>
                <w:rFonts w:ascii="宋体" w:hAnsi="宋体" w:cs="宋体"/>
                <w:sz w:val="22"/>
                <w:szCs w:val="22"/>
              </w:rPr>
            </w:pPr>
            <w:r>
              <w:rPr>
                <w:rFonts w:hint="eastAsia" w:ascii="宋体" w:hAnsi="宋体" w:cs="宋体"/>
                <w:sz w:val="22"/>
                <w:szCs w:val="22"/>
              </w:rPr>
              <w:t>有效承销费费率报价得分=（d-有效承销费费率报价）/（d-c）*30；结果保留3位小数。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36" w:hRule="atLeast"/>
        </w:trPr>
        <w:tc>
          <w:tcPr>
            <w:tcW w:w="678" w:type="dxa"/>
            <w:vMerge w:val="continue"/>
            <w:vAlign w:val="center"/>
          </w:tcPr>
          <w:p>
            <w:pPr>
              <w:widowControl/>
              <w:jc w:val="center"/>
              <w:textAlignment w:val="center"/>
              <w:rPr>
                <w:rFonts w:ascii="宋体" w:hAnsi="宋体" w:cs="宋体"/>
                <w:color w:val="000000"/>
                <w:sz w:val="22"/>
                <w:szCs w:val="22"/>
              </w:rPr>
            </w:pPr>
          </w:p>
        </w:tc>
        <w:tc>
          <w:tcPr>
            <w:tcW w:w="1200" w:type="dxa"/>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发行利率区间</w:t>
            </w:r>
          </w:p>
        </w:tc>
        <w:tc>
          <w:tcPr>
            <w:tcW w:w="960"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满分35分</w:t>
            </w:r>
          </w:p>
        </w:tc>
        <w:tc>
          <w:tcPr>
            <w:tcW w:w="7245" w:type="dxa"/>
            <w:vAlign w:val="center"/>
          </w:tcPr>
          <w:p>
            <w:pPr>
              <w:widowControl/>
              <w:jc w:val="left"/>
              <w:textAlignment w:val="center"/>
              <w:rPr>
                <w:rFonts w:ascii="宋体" w:hAnsi="宋体" w:cs="宋体"/>
                <w:sz w:val="22"/>
                <w:szCs w:val="22"/>
              </w:rPr>
            </w:pPr>
            <w:r>
              <w:rPr>
                <w:rFonts w:hint="eastAsia" w:ascii="宋体" w:hAnsi="宋体" w:cs="宋体"/>
                <w:color w:val="000000"/>
                <w:kern w:val="0"/>
                <w:sz w:val="22"/>
              </w:rPr>
              <w:t>按所有有效投标人所报</w:t>
            </w:r>
            <w:r>
              <w:rPr>
                <w:rFonts w:hint="eastAsia" w:ascii="宋体" w:hAnsi="宋体" w:cs="宋体"/>
                <w:color w:val="000000"/>
                <w:kern w:val="0"/>
              </w:rPr>
              <w:t>发行利率区间中间值的平均值</w:t>
            </w:r>
            <w:r>
              <w:rPr>
                <w:rFonts w:hint="eastAsia" w:ascii="宋体" w:hAnsi="宋体" w:cs="宋体"/>
                <w:kern w:val="0"/>
              </w:rPr>
              <w:t>为评分基准值，得满分35分，每高于平均值0.1%（投标人所报发行利率区间中间值-基准值）扣1分，每低于平均值0.1%扣0.5分（得分保留3位小数，小数点后第三位四舍五入），直至扣完为止。</w:t>
            </w:r>
          </w:p>
        </w:tc>
      </w:tr>
    </w:tbl>
    <w:p>
      <w:pPr>
        <w:spacing w:line="400" w:lineRule="exact"/>
        <w:ind w:firstLine="422" w:firstLineChars="200"/>
        <w:outlineLvl w:val="3"/>
        <w:rPr>
          <w:b/>
        </w:rPr>
      </w:pPr>
      <w:r>
        <w:rPr>
          <w:rFonts w:hint="eastAsia"/>
          <w:b/>
        </w:rPr>
        <w:t>以上参与评审的证书、证件等资料复印件须加盖单位公章胶装在投标文件中，但必须保证复印件关键内容清晰可见，否则因无法识别的导致的一切责任均由投标人负责。</w:t>
      </w:r>
    </w:p>
    <w:p>
      <w:pPr>
        <w:spacing w:line="400" w:lineRule="exact"/>
        <w:ind w:firstLine="422" w:firstLineChars="200"/>
        <w:outlineLvl w:val="3"/>
        <w:rPr>
          <w:rFonts w:ascii="宋体" w:cs="宋体"/>
          <w:b/>
        </w:rPr>
      </w:pPr>
      <w:r>
        <w:rPr>
          <w:rFonts w:hint="eastAsia" w:ascii="宋体" w:cs="宋体"/>
          <w:b/>
        </w:rPr>
        <w:t>1. 评标方法</w:t>
      </w:r>
    </w:p>
    <w:p>
      <w:pPr>
        <w:spacing w:line="400" w:lineRule="exact"/>
        <w:ind w:firstLine="420" w:firstLineChars="200"/>
        <w:outlineLvl w:val="3"/>
        <w:rPr>
          <w:rFonts w:ascii="宋体" w:cs="宋体"/>
          <w:bCs/>
        </w:rPr>
      </w:pPr>
      <w:r>
        <w:rPr>
          <w:rFonts w:hint="eastAsia" w:ascii="宋体" w:cs="宋体"/>
          <w:bCs/>
        </w:rPr>
        <w:t>1.1评标委员会依据本章评标标准规定对投标文件进行评审。</w:t>
      </w:r>
    </w:p>
    <w:p>
      <w:pPr>
        <w:spacing w:line="400" w:lineRule="exact"/>
        <w:ind w:firstLine="420" w:firstLineChars="200"/>
        <w:outlineLvl w:val="3"/>
        <w:rPr>
          <w:rFonts w:ascii="宋体" w:cs="宋体"/>
          <w:bCs/>
        </w:rPr>
      </w:pPr>
      <w:r>
        <w:rPr>
          <w:rFonts w:hint="eastAsia" w:ascii="宋体" w:cs="宋体"/>
          <w:bCs/>
        </w:rPr>
        <w:t>1.2 投标人有以下情形之一的，其投标作否决其投标处理：详见《第三章“评标办法（综合评标法）”评标委员会否决其投标的条款》所列内容。</w:t>
      </w:r>
    </w:p>
    <w:p>
      <w:pPr>
        <w:spacing w:line="360" w:lineRule="auto"/>
        <w:ind w:firstLine="420" w:firstLineChars="200"/>
        <w:rPr>
          <w:rFonts w:ascii="宋体" w:cs="宋体"/>
        </w:rPr>
      </w:pPr>
      <w:r>
        <w:rPr>
          <w:rFonts w:hint="eastAsia" w:ascii="宋体" w:cs="宋体"/>
        </w:rPr>
        <w:t>1.3评标委员会对满足招标文件实质性要求且通过资格审查和符合性审查的投标文件才进行综合评审打分阶段。</w:t>
      </w:r>
    </w:p>
    <w:p>
      <w:pPr>
        <w:spacing w:line="400" w:lineRule="exact"/>
        <w:ind w:firstLine="422" w:firstLineChars="200"/>
        <w:outlineLvl w:val="3"/>
        <w:rPr>
          <w:rFonts w:ascii="宋体" w:cs="宋体"/>
          <w:bCs/>
        </w:rPr>
      </w:pPr>
      <w:r>
        <w:rPr>
          <w:rFonts w:hint="eastAsia" w:ascii="宋体" w:cs="宋体"/>
          <w:b/>
        </w:rPr>
        <w:t>2. 评标原则</w:t>
      </w:r>
    </w:p>
    <w:p>
      <w:pPr>
        <w:spacing w:line="400" w:lineRule="exact"/>
        <w:ind w:firstLine="420" w:firstLineChars="200"/>
        <w:outlineLvl w:val="3"/>
        <w:rPr>
          <w:rFonts w:ascii="宋体" w:cs="宋体"/>
          <w:bCs/>
        </w:rPr>
      </w:pPr>
      <w:r>
        <w:rPr>
          <w:rFonts w:hint="eastAsia" w:ascii="宋体" w:cs="宋体"/>
          <w:bCs/>
        </w:rPr>
        <w:t xml:space="preserve">遵循公平、公正、科学、择优的原则。 </w:t>
      </w:r>
    </w:p>
    <w:p>
      <w:pPr>
        <w:spacing w:line="400" w:lineRule="exact"/>
        <w:ind w:firstLine="422" w:firstLineChars="200"/>
        <w:outlineLvl w:val="3"/>
        <w:rPr>
          <w:rFonts w:ascii="宋体" w:cs="宋体"/>
          <w:b/>
        </w:rPr>
      </w:pPr>
      <w:r>
        <w:rPr>
          <w:rFonts w:hint="eastAsia" w:ascii="宋体" w:cs="宋体"/>
          <w:b/>
        </w:rPr>
        <w:t>3. 评标委员会组成及职责</w:t>
      </w:r>
    </w:p>
    <w:p>
      <w:pPr>
        <w:spacing w:line="400" w:lineRule="exact"/>
        <w:ind w:firstLine="420" w:firstLineChars="200"/>
        <w:outlineLvl w:val="3"/>
        <w:rPr>
          <w:rFonts w:ascii="宋体" w:cs="宋体"/>
          <w:bCs/>
        </w:rPr>
      </w:pPr>
      <w:r>
        <w:rPr>
          <w:rFonts w:hint="eastAsia" w:ascii="宋体" w:cs="宋体"/>
          <w:bCs/>
        </w:rPr>
        <w:t>3.1评标委员会</w:t>
      </w:r>
    </w:p>
    <w:p>
      <w:pPr>
        <w:spacing w:line="400" w:lineRule="exact"/>
        <w:ind w:firstLine="420" w:firstLineChars="200"/>
        <w:outlineLvl w:val="3"/>
        <w:rPr>
          <w:rFonts w:ascii="宋体" w:cs="宋体"/>
          <w:bCs/>
        </w:rPr>
      </w:pPr>
      <w:r>
        <w:rPr>
          <w:rFonts w:hint="eastAsia" w:ascii="宋体" w:cs="宋体"/>
          <w:bCs/>
        </w:rPr>
        <w:t>评标委员会由招标人依法组建,所有评标委员会成员推举产生评标委员会组长。</w:t>
      </w:r>
    </w:p>
    <w:p>
      <w:pPr>
        <w:spacing w:line="400" w:lineRule="exact"/>
        <w:ind w:firstLine="420" w:firstLineChars="200"/>
        <w:outlineLvl w:val="3"/>
        <w:rPr>
          <w:rFonts w:ascii="宋体" w:cs="宋体"/>
          <w:bCs/>
        </w:rPr>
      </w:pPr>
      <w:r>
        <w:rPr>
          <w:rFonts w:hint="eastAsia" w:ascii="宋体" w:cs="宋体"/>
          <w:bCs/>
        </w:rPr>
        <w:t>3.2 评标委员会的职责</w:t>
      </w:r>
    </w:p>
    <w:p>
      <w:pPr>
        <w:spacing w:line="400" w:lineRule="exact"/>
        <w:ind w:firstLine="420" w:firstLineChars="200"/>
        <w:outlineLvl w:val="3"/>
        <w:rPr>
          <w:rFonts w:ascii="宋体" w:cs="宋体"/>
          <w:bCs/>
        </w:rPr>
      </w:pPr>
      <w:r>
        <w:rPr>
          <w:rFonts w:hint="eastAsia" w:ascii="宋体" w:cs="宋体"/>
          <w:bCs/>
        </w:rPr>
        <w:t>评标委员会应当根据评标办法，对投标文件进行评审和比较，向招标人推荐中标候选人或根据招标人的授权直接确定中标人。各评委独立评审，提出评审意见，不受任何单位或者个人的干预。各评委对各自评审结果负责，并在评标报告上签字确认。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00" w:lineRule="exact"/>
        <w:ind w:firstLine="422" w:firstLineChars="200"/>
        <w:outlineLvl w:val="3"/>
        <w:rPr>
          <w:rFonts w:ascii="宋体" w:cs="宋体"/>
          <w:b/>
        </w:rPr>
      </w:pPr>
      <w:r>
        <w:rPr>
          <w:rFonts w:hint="eastAsia" w:ascii="宋体" w:cs="宋体"/>
          <w:b/>
        </w:rPr>
        <w:t>4.评标程序</w:t>
      </w:r>
    </w:p>
    <w:p>
      <w:pPr>
        <w:spacing w:line="400" w:lineRule="exact"/>
        <w:ind w:firstLine="420" w:firstLineChars="200"/>
        <w:outlineLvl w:val="3"/>
        <w:rPr>
          <w:rFonts w:ascii="宋体" w:cs="宋体"/>
          <w:bCs/>
        </w:rPr>
      </w:pPr>
      <w:r>
        <w:rPr>
          <w:rFonts w:hint="eastAsia" w:ascii="宋体" w:cs="宋体"/>
          <w:bCs/>
        </w:rPr>
        <w:t>评标准备、初步评审（符合性评审，资格评审）、综合评审，推荐中标候选人。</w:t>
      </w:r>
    </w:p>
    <w:p>
      <w:pPr>
        <w:spacing w:line="400" w:lineRule="exact"/>
        <w:ind w:firstLine="420" w:firstLineChars="200"/>
        <w:outlineLvl w:val="3"/>
        <w:rPr>
          <w:rFonts w:ascii="宋体" w:cs="宋体"/>
          <w:bCs/>
        </w:rPr>
      </w:pPr>
      <w:r>
        <w:rPr>
          <w:rFonts w:hint="eastAsia" w:ascii="宋体" w:cs="宋体"/>
          <w:bCs/>
        </w:rPr>
        <w:t>4.1评标准备</w:t>
      </w:r>
    </w:p>
    <w:p>
      <w:pPr>
        <w:spacing w:line="400" w:lineRule="exact"/>
        <w:ind w:firstLine="420" w:firstLineChars="200"/>
        <w:outlineLvl w:val="3"/>
        <w:rPr>
          <w:rFonts w:ascii="宋体" w:cs="宋体"/>
          <w:bCs/>
        </w:rPr>
      </w:pPr>
      <w:r>
        <w:rPr>
          <w:rFonts w:hint="eastAsia" w:ascii="宋体" w:cs="宋体"/>
          <w:bCs/>
        </w:rPr>
        <w:t>评标委员会熟悉评标工作情况：</w:t>
      </w:r>
    </w:p>
    <w:p>
      <w:pPr>
        <w:spacing w:line="400" w:lineRule="exact"/>
        <w:ind w:firstLine="420" w:firstLineChars="200"/>
        <w:outlineLvl w:val="3"/>
        <w:rPr>
          <w:rFonts w:ascii="宋体" w:cs="宋体"/>
          <w:bCs/>
        </w:rPr>
      </w:pPr>
      <w:r>
        <w:rPr>
          <w:rFonts w:hint="eastAsia" w:ascii="宋体" w:cs="宋体"/>
          <w:bCs/>
        </w:rPr>
        <w:t>(1)阅读、研究招标文件和相关评标资料，获取评标所需要的重要信息和数据,至少应了解和熟悉以下内容：招标的目标、招标项目的范围和性质、招标文件规定的主要技术要求、标准和商务条款。</w:t>
      </w:r>
    </w:p>
    <w:p>
      <w:pPr>
        <w:spacing w:line="400" w:lineRule="exact"/>
        <w:ind w:firstLine="420" w:firstLineChars="200"/>
        <w:outlineLvl w:val="3"/>
        <w:rPr>
          <w:rFonts w:ascii="宋体" w:cs="宋体"/>
          <w:bCs/>
        </w:rPr>
      </w:pPr>
      <w:r>
        <w:rPr>
          <w:rFonts w:hint="eastAsia" w:ascii="宋体" w:cs="宋体"/>
          <w:bCs/>
        </w:rPr>
        <w:t>(2)熟悉招标文件规定的评标标准和评标方法及在评标过程中需要考虑的相关因素。</w:t>
      </w:r>
    </w:p>
    <w:p>
      <w:pPr>
        <w:spacing w:line="400" w:lineRule="exact"/>
        <w:ind w:firstLine="420" w:firstLineChars="200"/>
        <w:outlineLvl w:val="3"/>
        <w:rPr>
          <w:rFonts w:ascii="宋体" w:cs="宋体"/>
          <w:bCs/>
        </w:rPr>
      </w:pPr>
      <w:r>
        <w:rPr>
          <w:rFonts w:hint="eastAsia" w:ascii="宋体" w:cs="宋体"/>
          <w:bCs/>
        </w:rPr>
        <w:t>(3)核对评标工作用表。</w:t>
      </w:r>
    </w:p>
    <w:p>
      <w:pPr>
        <w:spacing w:line="400" w:lineRule="exact"/>
        <w:ind w:firstLine="420" w:firstLineChars="200"/>
        <w:outlineLvl w:val="3"/>
        <w:rPr>
          <w:rFonts w:ascii="宋体" w:cs="宋体"/>
          <w:bCs/>
        </w:rPr>
      </w:pPr>
      <w:r>
        <w:rPr>
          <w:rFonts w:hint="eastAsia" w:ascii="宋体" w:cs="宋体"/>
          <w:bCs/>
        </w:rPr>
        <w:t>4.2初步评审</w:t>
      </w:r>
    </w:p>
    <w:p>
      <w:pPr>
        <w:spacing w:line="400" w:lineRule="exact"/>
        <w:ind w:firstLine="420" w:firstLineChars="200"/>
        <w:outlineLvl w:val="3"/>
        <w:rPr>
          <w:rFonts w:ascii="宋体" w:cs="宋体"/>
          <w:bCs/>
        </w:rPr>
      </w:pPr>
      <w:r>
        <w:rPr>
          <w:rFonts w:hint="eastAsia" w:ascii="宋体" w:cs="宋体"/>
          <w:bCs/>
        </w:rPr>
        <w:t>符合性评审和资格评审，评标委员会依据招标文件规定的标准对投标文件进行初步评审，不符合评审标准的，则按否决其投标处理。</w:t>
      </w:r>
    </w:p>
    <w:p>
      <w:pPr>
        <w:spacing w:line="400" w:lineRule="exact"/>
        <w:ind w:firstLine="420" w:firstLineChars="200"/>
        <w:outlineLvl w:val="3"/>
        <w:rPr>
          <w:rFonts w:ascii="宋体" w:cs="宋体"/>
          <w:bCs/>
        </w:rPr>
      </w:pPr>
      <w:r>
        <w:rPr>
          <w:rFonts w:hint="eastAsia" w:ascii="宋体" w:cs="宋体"/>
          <w:bCs/>
        </w:rPr>
        <w:t>4.3综合评审</w:t>
      </w:r>
    </w:p>
    <w:p>
      <w:pPr>
        <w:spacing w:line="400" w:lineRule="exact"/>
        <w:ind w:firstLine="420" w:firstLineChars="200"/>
        <w:outlineLvl w:val="3"/>
        <w:rPr>
          <w:rFonts w:ascii="宋体" w:cs="宋体"/>
          <w:bCs/>
        </w:rPr>
      </w:pPr>
      <w:r>
        <w:rPr>
          <w:rFonts w:hint="eastAsia" w:ascii="宋体" w:cs="宋体"/>
          <w:bCs/>
        </w:rPr>
        <w:t>按招标文件规定评审</w:t>
      </w:r>
    </w:p>
    <w:p>
      <w:pPr>
        <w:spacing w:line="400" w:lineRule="exact"/>
        <w:ind w:firstLine="420" w:firstLineChars="200"/>
        <w:outlineLvl w:val="3"/>
        <w:rPr>
          <w:rFonts w:ascii="宋体" w:cs="宋体"/>
          <w:bCs/>
        </w:rPr>
      </w:pPr>
      <w:r>
        <w:rPr>
          <w:rFonts w:hint="eastAsia" w:ascii="宋体" w:cs="宋体"/>
          <w:bCs/>
        </w:rPr>
        <w:t>4.4推荐中标候选人：</w:t>
      </w:r>
    </w:p>
    <w:p>
      <w:pPr>
        <w:spacing w:line="400" w:lineRule="exact"/>
        <w:ind w:firstLine="420" w:firstLineChars="200"/>
        <w:outlineLvl w:val="3"/>
        <w:rPr>
          <w:rFonts w:ascii="宋体" w:cs="宋体"/>
          <w:bCs/>
        </w:rPr>
      </w:pPr>
      <w:r>
        <w:rPr>
          <w:rFonts w:hint="eastAsia" w:ascii="宋体" w:cs="宋体"/>
          <w:bCs/>
        </w:rPr>
        <w:t>评标委员会完成评标后，须向招标人提出书面评标报告，阐明评标委员会对各投标文件的评审和比较意见，并按得分由高到低进行排序，推荐1-3名为中标候选人，</w:t>
      </w:r>
      <w:r>
        <w:rPr>
          <w:rFonts w:hint="eastAsia" w:ascii="宋体" w:cs="宋体"/>
        </w:rPr>
        <w:t>评标委员会根据投标人的综合得分，从高到低推荐1～3名有排序的中标候选人，若出现综合得分相等时，按投标人的投标承销费率报价由低到高排序，</w:t>
      </w:r>
      <w:r>
        <w:rPr>
          <w:rFonts w:hint="eastAsia" w:ascii="宋体" w:cs="宋体"/>
          <w:bCs/>
        </w:rPr>
        <w:t>若出现报价相同的情况时，在招标人监督下由投标人抽签确定，并向招标人提交书面评标报告。</w:t>
      </w:r>
    </w:p>
    <w:p>
      <w:pPr>
        <w:spacing w:line="400" w:lineRule="exact"/>
        <w:ind w:firstLine="422" w:firstLineChars="200"/>
        <w:outlineLvl w:val="3"/>
        <w:rPr>
          <w:rFonts w:ascii="宋体" w:cs="宋体"/>
          <w:b/>
        </w:rPr>
      </w:pPr>
      <w:r>
        <w:rPr>
          <w:rFonts w:hint="eastAsia" w:ascii="宋体" w:cs="宋体"/>
          <w:b/>
        </w:rPr>
        <w:t>5.评审内容</w:t>
      </w:r>
    </w:p>
    <w:p>
      <w:pPr>
        <w:spacing w:line="400" w:lineRule="exact"/>
        <w:ind w:firstLine="420" w:firstLineChars="200"/>
        <w:outlineLvl w:val="3"/>
        <w:rPr>
          <w:rFonts w:ascii="宋体" w:cs="宋体"/>
          <w:bCs/>
        </w:rPr>
      </w:pPr>
      <w:r>
        <w:rPr>
          <w:rFonts w:hint="eastAsia" w:ascii="宋体" w:cs="宋体"/>
          <w:bCs/>
        </w:rPr>
        <w:t xml:space="preserve">5.1初步评审 </w:t>
      </w:r>
    </w:p>
    <w:p>
      <w:pPr>
        <w:spacing w:line="400" w:lineRule="exact"/>
        <w:ind w:firstLine="420" w:firstLineChars="200"/>
        <w:outlineLvl w:val="3"/>
        <w:rPr>
          <w:rFonts w:ascii="宋体" w:cs="宋体"/>
          <w:bCs/>
        </w:rPr>
      </w:pPr>
      <w:r>
        <w:rPr>
          <w:rFonts w:hint="eastAsia" w:ascii="宋体" w:cs="宋体"/>
          <w:bCs/>
        </w:rPr>
        <w:t>符合性评审、资格评审标准：见评标办法前附表。</w:t>
      </w:r>
    </w:p>
    <w:p>
      <w:pPr>
        <w:spacing w:line="400" w:lineRule="exact"/>
        <w:ind w:firstLine="420" w:firstLineChars="200"/>
        <w:outlineLvl w:val="3"/>
        <w:rPr>
          <w:rFonts w:ascii="宋体" w:cs="宋体"/>
          <w:bCs/>
        </w:rPr>
      </w:pPr>
      <w:r>
        <w:rPr>
          <w:rFonts w:hint="eastAsia" w:ascii="宋体" w:cs="宋体"/>
          <w:bCs/>
        </w:rPr>
        <w:t>5.2详细评审</w:t>
      </w:r>
    </w:p>
    <w:p>
      <w:pPr>
        <w:spacing w:line="400" w:lineRule="exact"/>
        <w:ind w:firstLine="420" w:firstLineChars="200"/>
        <w:outlineLvl w:val="3"/>
        <w:rPr>
          <w:rFonts w:ascii="宋体" w:cs="宋体"/>
          <w:bCs/>
        </w:rPr>
      </w:pPr>
      <w:r>
        <w:rPr>
          <w:rFonts w:hint="eastAsia" w:ascii="宋体" w:cs="宋体"/>
          <w:bCs/>
        </w:rPr>
        <w:t>5.2.1综合评审</w:t>
      </w:r>
    </w:p>
    <w:p>
      <w:pPr>
        <w:spacing w:line="400" w:lineRule="exact"/>
        <w:ind w:firstLine="420" w:firstLineChars="200"/>
        <w:outlineLvl w:val="3"/>
        <w:rPr>
          <w:rFonts w:ascii="宋体" w:cs="宋体"/>
          <w:bCs/>
        </w:rPr>
      </w:pPr>
      <w:r>
        <w:rPr>
          <w:rFonts w:hint="eastAsia" w:ascii="宋体" w:cs="宋体"/>
          <w:bCs/>
        </w:rPr>
        <w:t>进入本阶段评审。</w:t>
      </w:r>
    </w:p>
    <w:p>
      <w:pPr>
        <w:spacing w:line="400" w:lineRule="exact"/>
        <w:ind w:firstLine="420" w:firstLineChars="200"/>
        <w:outlineLvl w:val="3"/>
        <w:rPr>
          <w:rFonts w:ascii="宋体" w:cs="宋体"/>
          <w:bCs/>
        </w:rPr>
      </w:pPr>
      <w:r>
        <w:rPr>
          <w:rFonts w:hint="eastAsia" w:ascii="宋体" w:cs="宋体"/>
          <w:bCs/>
        </w:rPr>
        <w:t>5.3 投标文件的澄清和补正</w:t>
      </w:r>
    </w:p>
    <w:p>
      <w:pPr>
        <w:spacing w:line="400" w:lineRule="exact"/>
        <w:ind w:firstLine="420" w:firstLineChars="200"/>
        <w:outlineLvl w:val="3"/>
        <w:rPr>
          <w:rFonts w:ascii="宋体" w:cs="宋体"/>
          <w:bCs/>
        </w:rPr>
      </w:pPr>
      <w:r>
        <w:rPr>
          <w:rFonts w:hint="eastAsia" w:ascii="宋体" w:cs="宋体"/>
          <w:bCs/>
        </w:rPr>
        <w:t>5.3.1在评标过程中，评标委员会应以书面形式要求投标人对所提交的投标文件中不明确的内容进行书面澄清或说明，或者对细微偏差进行补正。评标委员会不接受投标人主动提出的澄清、说明或补正。</w:t>
      </w:r>
    </w:p>
    <w:p>
      <w:pPr>
        <w:spacing w:line="400" w:lineRule="exact"/>
        <w:ind w:firstLine="420" w:firstLineChars="200"/>
        <w:outlineLvl w:val="3"/>
        <w:rPr>
          <w:rFonts w:ascii="宋体" w:cs="宋体"/>
          <w:bCs/>
        </w:rPr>
      </w:pPr>
      <w:r>
        <w:rPr>
          <w:rFonts w:hint="eastAsia" w:ascii="宋体" w:cs="宋体"/>
          <w:bCs/>
        </w:rPr>
        <w:t>5.3.2 澄清、说明和补正不得改变投标文件的实质性内容。投标人的书面澄清、说明和补正属于投标文件的组成部分。</w:t>
      </w:r>
    </w:p>
    <w:p>
      <w:pPr>
        <w:spacing w:line="400" w:lineRule="exact"/>
        <w:ind w:firstLine="420" w:firstLineChars="200"/>
        <w:outlineLvl w:val="3"/>
        <w:rPr>
          <w:rFonts w:ascii="宋体" w:cs="宋体"/>
          <w:bCs/>
        </w:rPr>
      </w:pPr>
      <w:r>
        <w:rPr>
          <w:rFonts w:hint="eastAsia" w:ascii="宋体" w:cs="宋体"/>
          <w:bCs/>
        </w:rPr>
        <w:t>5.3.3 评标委员会对投标人提交的澄清、说明或补正有疑问的，可以要求投标人进一步澄清、说明或补正，直至满足评标委员会的要求。</w:t>
      </w:r>
    </w:p>
    <w:p>
      <w:pPr>
        <w:spacing w:line="400" w:lineRule="exact"/>
        <w:ind w:firstLine="420" w:firstLineChars="200"/>
        <w:outlineLvl w:val="3"/>
        <w:rPr>
          <w:rFonts w:ascii="宋体" w:cs="宋体"/>
          <w:bCs/>
        </w:rPr>
      </w:pPr>
      <w:r>
        <w:rPr>
          <w:rFonts w:hint="eastAsia" w:ascii="宋体" w:cs="宋体"/>
          <w:bCs/>
        </w:rPr>
        <w:t>5.4 评标结果</w:t>
      </w:r>
    </w:p>
    <w:p>
      <w:pPr>
        <w:spacing w:line="400" w:lineRule="exact"/>
        <w:ind w:firstLine="420" w:firstLineChars="200"/>
        <w:outlineLvl w:val="3"/>
        <w:rPr>
          <w:rFonts w:ascii="宋体" w:cs="宋体"/>
          <w:bCs/>
        </w:rPr>
      </w:pPr>
      <w:r>
        <w:rPr>
          <w:rFonts w:hint="eastAsia" w:ascii="宋体" w:cs="宋体"/>
          <w:bCs/>
        </w:rPr>
        <w:t>5.4.1除第二章“投标人须知”前附表授权直接确定中标人外，评标委员会按照评审结果推荐 1-3名中标候选人，并标明排列顺序。</w:t>
      </w:r>
    </w:p>
    <w:p>
      <w:pPr>
        <w:spacing w:line="400" w:lineRule="exact"/>
        <w:ind w:firstLine="420" w:firstLineChars="200"/>
        <w:outlineLvl w:val="3"/>
        <w:rPr>
          <w:rFonts w:ascii="宋体" w:cs="宋体"/>
          <w:bCs/>
        </w:rPr>
      </w:pPr>
      <w:r>
        <w:rPr>
          <w:rFonts w:hint="eastAsia" w:ascii="宋体" w:cs="宋体"/>
          <w:bCs/>
        </w:rPr>
        <w:t>5.4.2 评标委员会完成评标后，应当向招标人提交书面评标报告。评标报告应记载以下内容：</w:t>
      </w:r>
    </w:p>
    <w:p>
      <w:pPr>
        <w:spacing w:line="400" w:lineRule="exact"/>
        <w:ind w:firstLine="420" w:firstLineChars="200"/>
        <w:outlineLvl w:val="3"/>
        <w:rPr>
          <w:rFonts w:ascii="宋体" w:cs="宋体"/>
          <w:bCs/>
        </w:rPr>
      </w:pPr>
      <w:r>
        <w:rPr>
          <w:rFonts w:hint="eastAsia" w:ascii="宋体" w:cs="宋体"/>
          <w:bCs/>
        </w:rPr>
        <w:t>(1)基本情况和数据表。</w:t>
      </w:r>
    </w:p>
    <w:p>
      <w:pPr>
        <w:spacing w:line="400" w:lineRule="exact"/>
        <w:ind w:firstLine="420" w:firstLineChars="200"/>
        <w:outlineLvl w:val="3"/>
        <w:rPr>
          <w:rFonts w:ascii="宋体" w:cs="宋体"/>
          <w:bCs/>
        </w:rPr>
      </w:pPr>
      <w:r>
        <w:rPr>
          <w:rFonts w:hint="eastAsia" w:ascii="宋体" w:cs="宋体"/>
          <w:bCs/>
        </w:rPr>
        <w:t>(2)评标委员会成员名单。</w:t>
      </w:r>
    </w:p>
    <w:p>
      <w:pPr>
        <w:spacing w:line="400" w:lineRule="exact"/>
        <w:ind w:firstLine="420" w:firstLineChars="200"/>
        <w:outlineLvl w:val="3"/>
        <w:rPr>
          <w:rFonts w:ascii="宋体" w:cs="宋体"/>
          <w:bCs/>
        </w:rPr>
      </w:pPr>
      <w:r>
        <w:rPr>
          <w:rFonts w:hint="eastAsia" w:ascii="宋体" w:cs="宋体"/>
          <w:bCs/>
        </w:rPr>
        <w:t>(3)开标记录。</w:t>
      </w:r>
    </w:p>
    <w:p>
      <w:pPr>
        <w:spacing w:line="400" w:lineRule="exact"/>
        <w:ind w:firstLine="420" w:firstLineChars="200"/>
        <w:outlineLvl w:val="3"/>
        <w:rPr>
          <w:rFonts w:ascii="宋体" w:cs="宋体"/>
          <w:bCs/>
        </w:rPr>
      </w:pPr>
      <w:r>
        <w:rPr>
          <w:rFonts w:hint="eastAsia" w:ascii="宋体" w:cs="宋体"/>
          <w:bCs/>
        </w:rPr>
        <w:t>(4)符合要求的投标人一览表。</w:t>
      </w:r>
    </w:p>
    <w:p>
      <w:pPr>
        <w:spacing w:line="400" w:lineRule="exact"/>
        <w:ind w:firstLine="420" w:firstLineChars="200"/>
        <w:outlineLvl w:val="3"/>
        <w:rPr>
          <w:rFonts w:ascii="宋体" w:cs="宋体"/>
          <w:bCs/>
        </w:rPr>
      </w:pPr>
      <w:r>
        <w:rPr>
          <w:rFonts w:hint="eastAsia" w:ascii="宋体" w:cs="宋体"/>
          <w:bCs/>
        </w:rPr>
        <w:t>(5)否决其投标情况说明。</w:t>
      </w:r>
    </w:p>
    <w:p>
      <w:pPr>
        <w:spacing w:line="400" w:lineRule="exact"/>
        <w:ind w:firstLine="420" w:firstLineChars="200"/>
        <w:outlineLvl w:val="3"/>
        <w:rPr>
          <w:rFonts w:ascii="宋体" w:cs="宋体"/>
          <w:bCs/>
        </w:rPr>
      </w:pPr>
      <w:r>
        <w:rPr>
          <w:rFonts w:hint="eastAsia" w:ascii="宋体" w:cs="宋体"/>
          <w:bCs/>
        </w:rPr>
        <w:t>(6)评标标准、评标方法或者评标因素一览表。</w:t>
      </w:r>
    </w:p>
    <w:p>
      <w:pPr>
        <w:spacing w:line="400" w:lineRule="exact"/>
        <w:ind w:firstLine="420" w:firstLineChars="200"/>
        <w:outlineLvl w:val="3"/>
        <w:rPr>
          <w:rFonts w:ascii="宋体" w:cs="宋体"/>
          <w:bCs/>
        </w:rPr>
      </w:pPr>
      <w:r>
        <w:rPr>
          <w:rFonts w:hint="eastAsia" w:ascii="宋体" w:cs="宋体"/>
          <w:bCs/>
        </w:rPr>
        <w:t>(7)经评审的价格一览表。</w:t>
      </w:r>
    </w:p>
    <w:p>
      <w:pPr>
        <w:spacing w:line="400" w:lineRule="exact"/>
        <w:ind w:firstLine="420" w:firstLineChars="200"/>
        <w:outlineLvl w:val="3"/>
        <w:rPr>
          <w:rFonts w:ascii="宋体" w:cs="宋体"/>
          <w:bCs/>
        </w:rPr>
      </w:pPr>
      <w:r>
        <w:rPr>
          <w:rFonts w:hint="eastAsia" w:ascii="宋体" w:cs="宋体"/>
          <w:bCs/>
        </w:rPr>
        <w:t>(8)经评审的投标人排序。</w:t>
      </w:r>
    </w:p>
    <w:p>
      <w:pPr>
        <w:spacing w:line="400" w:lineRule="exact"/>
        <w:ind w:firstLine="420" w:firstLineChars="200"/>
        <w:outlineLvl w:val="3"/>
        <w:rPr>
          <w:rFonts w:ascii="宋体" w:cs="宋体"/>
          <w:bCs/>
        </w:rPr>
      </w:pPr>
      <w:r>
        <w:rPr>
          <w:rFonts w:hint="eastAsia" w:ascii="宋体" w:cs="宋体"/>
          <w:bCs/>
        </w:rPr>
        <w:t>(9)推荐的中标候选人名单与签订合同前要处理的事宜。</w:t>
      </w:r>
    </w:p>
    <w:p>
      <w:pPr>
        <w:spacing w:line="400" w:lineRule="exact"/>
        <w:ind w:firstLine="420" w:firstLineChars="200"/>
        <w:outlineLvl w:val="3"/>
        <w:rPr>
          <w:rFonts w:ascii="宋体" w:cs="宋体"/>
          <w:bCs/>
        </w:rPr>
      </w:pPr>
      <w:r>
        <w:rPr>
          <w:rFonts w:hint="eastAsia" w:ascii="宋体" w:cs="宋体"/>
          <w:bCs/>
        </w:rPr>
        <w:t>(10)澄清、说明、补正事项纪要。</w:t>
      </w:r>
    </w:p>
    <w:p>
      <w:pPr>
        <w:spacing w:line="400" w:lineRule="exact"/>
        <w:ind w:firstLine="420" w:firstLineChars="200"/>
        <w:outlineLvl w:val="3"/>
        <w:rPr>
          <w:rFonts w:ascii="宋体" w:cs="宋体"/>
          <w:bCs/>
        </w:rPr>
      </w:pPr>
      <w:r>
        <w:rPr>
          <w:rFonts w:hint="eastAsia" w:ascii="宋体" w:cs="宋体"/>
          <w:bCs/>
        </w:rPr>
        <w:t>5.4.3依法必须进行招标的项目，招标人应当确定排名第一的中标候选人为中标人。排名第一的中标候选人放弃中标、因不可抗力提出不能履行合同，或者招标文件规定应当提交履约保证金而在规定的期限内未能提交的，招标人可以确定排名第二的中标候选人为中标人,依次类推;或重新招标。</w:t>
      </w:r>
    </w:p>
    <w:p>
      <w:pPr>
        <w:spacing w:line="400" w:lineRule="exact"/>
        <w:ind w:firstLine="422" w:firstLineChars="200"/>
        <w:outlineLvl w:val="3"/>
        <w:rPr>
          <w:rFonts w:ascii="宋体" w:cs="宋体"/>
          <w:bCs/>
        </w:rPr>
      </w:pPr>
      <w:r>
        <w:rPr>
          <w:rFonts w:hint="eastAsia" w:ascii="宋体" w:cs="宋体"/>
          <w:b/>
        </w:rPr>
        <w:t>6. 适用范围：</w:t>
      </w:r>
      <w:r>
        <w:rPr>
          <w:rFonts w:hint="eastAsia" w:ascii="宋体" w:cs="宋体"/>
          <w:bCs/>
        </w:rPr>
        <w:t xml:space="preserve"> 适用于本项目。</w:t>
      </w:r>
    </w:p>
    <w:p>
      <w:pPr>
        <w:spacing w:line="400" w:lineRule="exact"/>
        <w:ind w:firstLine="420" w:firstLineChars="200"/>
        <w:outlineLvl w:val="3"/>
        <w:rPr>
          <w:rFonts w:ascii="宋体" w:cs="宋体"/>
          <w:bCs/>
        </w:rPr>
      </w:pPr>
    </w:p>
    <w:p>
      <w:pPr>
        <w:spacing w:line="400" w:lineRule="exact"/>
        <w:ind w:firstLine="420" w:firstLineChars="200"/>
        <w:outlineLvl w:val="3"/>
        <w:rPr>
          <w:rFonts w:ascii="宋体" w:cs="宋体"/>
          <w:bCs/>
        </w:rPr>
      </w:pPr>
    </w:p>
    <w:p>
      <w:pPr>
        <w:spacing w:line="400" w:lineRule="exact"/>
        <w:ind w:firstLine="420" w:firstLineChars="200"/>
        <w:outlineLvl w:val="3"/>
        <w:rPr>
          <w:rFonts w:ascii="宋体" w:cs="宋体"/>
          <w:bCs/>
        </w:rPr>
      </w:pPr>
    </w:p>
    <w:p>
      <w:pPr>
        <w:spacing w:line="400" w:lineRule="exact"/>
        <w:ind w:firstLine="420" w:firstLineChars="200"/>
        <w:outlineLvl w:val="3"/>
        <w:rPr>
          <w:rFonts w:ascii="宋体" w:cs="宋体"/>
          <w:bCs/>
        </w:rPr>
      </w:pPr>
    </w:p>
    <w:p>
      <w:pPr>
        <w:spacing w:line="400" w:lineRule="exact"/>
        <w:ind w:firstLine="420" w:firstLineChars="200"/>
        <w:outlineLvl w:val="3"/>
        <w:rPr>
          <w:rFonts w:ascii="宋体" w:cs="宋体"/>
          <w:bCs/>
        </w:rPr>
      </w:pPr>
    </w:p>
    <w:p>
      <w:pPr>
        <w:spacing w:line="400" w:lineRule="exact"/>
        <w:ind w:firstLine="420" w:firstLineChars="200"/>
        <w:outlineLvl w:val="3"/>
        <w:rPr>
          <w:rFonts w:ascii="宋体" w:cs="宋体"/>
          <w:bCs/>
        </w:rPr>
      </w:pPr>
    </w:p>
    <w:p>
      <w:pPr>
        <w:jc w:val="center"/>
        <w:outlineLvl w:val="0"/>
        <w:rPr>
          <w:rFonts w:ascii="黑体" w:eastAsia="黑体"/>
          <w:b/>
          <w:sz w:val="32"/>
          <w:szCs w:val="32"/>
        </w:rPr>
      </w:pPr>
      <w:bookmarkStart w:id="172" w:name="_Toc475089542"/>
      <w:r>
        <w:rPr>
          <w:rFonts w:hint="eastAsia" w:ascii="黑体" w:eastAsia="黑体"/>
          <w:b/>
          <w:sz w:val="32"/>
          <w:szCs w:val="32"/>
        </w:rPr>
        <w:t>第四章  服务内容及要求</w:t>
      </w:r>
      <w:bookmarkEnd w:id="172"/>
    </w:p>
    <w:p>
      <w:pPr>
        <w:spacing w:line="400" w:lineRule="exact"/>
        <w:jc w:val="center"/>
        <w:rPr>
          <w:rFonts w:ascii="仿宋_GB2312" w:eastAsia="仿宋_GB2312"/>
          <w:sz w:val="28"/>
          <w:szCs w:val="28"/>
        </w:rPr>
      </w:pPr>
    </w:p>
    <w:p>
      <w:pPr>
        <w:spacing w:line="560" w:lineRule="exact"/>
        <w:ind w:firstLine="412" w:firstLineChars="196"/>
        <w:jc w:val="left"/>
        <w:rPr>
          <w:rFonts w:ascii="宋体" w:cs="宋体"/>
          <w:bCs/>
        </w:rPr>
      </w:pPr>
      <w:r>
        <w:rPr>
          <w:rFonts w:hint="eastAsia" w:ascii="宋体" w:cs="宋体"/>
          <w:bCs/>
        </w:rPr>
        <w:t>一、项目概况：</w:t>
      </w:r>
    </w:p>
    <w:p>
      <w:pPr>
        <w:spacing w:line="360" w:lineRule="auto"/>
        <w:ind w:firstLine="420" w:firstLineChars="200"/>
        <w:rPr>
          <w:rFonts w:ascii="宋体" w:cs="宋体"/>
          <w:bCs/>
        </w:rPr>
      </w:pPr>
      <w:r>
        <w:rPr>
          <w:rFonts w:hint="eastAsia" w:ascii="宋体" w:cs="宋体"/>
          <w:bCs/>
        </w:rPr>
        <w:t>阜阳交通能源投资有限公司作为阜阳市政府投融资平台，此次承担发行公司债券，具体事宜委托一家主承销商进行运作。</w:t>
      </w:r>
    </w:p>
    <w:p>
      <w:pPr>
        <w:numPr>
          <w:ilvl w:val="0"/>
          <w:numId w:val="3"/>
        </w:numPr>
        <w:spacing w:line="360" w:lineRule="auto"/>
        <w:ind w:firstLine="420" w:firstLineChars="200"/>
        <w:rPr>
          <w:rFonts w:ascii="宋体" w:cs="宋体"/>
          <w:bCs/>
        </w:rPr>
      </w:pPr>
      <w:r>
        <w:rPr>
          <w:rFonts w:hint="eastAsia" w:ascii="宋体" w:cs="宋体"/>
          <w:bCs/>
        </w:rPr>
        <w:t>项目的基本情况表</w:t>
      </w:r>
    </w:p>
    <w:tbl>
      <w:tblPr>
        <w:tblStyle w:val="46"/>
        <w:tblW w:w="846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2880" w:type="dxa"/>
            <w:vAlign w:val="center"/>
          </w:tcPr>
          <w:p>
            <w:pPr>
              <w:spacing w:line="360" w:lineRule="auto"/>
              <w:rPr>
                <w:rFonts w:ascii="宋体" w:hAnsi="宋体"/>
                <w:kern w:val="0"/>
                <w:sz w:val="24"/>
              </w:rPr>
            </w:pPr>
            <w:r>
              <w:rPr>
                <w:rFonts w:ascii="宋体" w:hAnsi="宋体"/>
                <w:kern w:val="0"/>
                <w:sz w:val="24"/>
              </w:rPr>
              <w:t>债券发行人</w:t>
            </w:r>
          </w:p>
        </w:tc>
        <w:tc>
          <w:tcPr>
            <w:tcW w:w="5580" w:type="dxa"/>
            <w:vAlign w:val="center"/>
          </w:tcPr>
          <w:p>
            <w:pPr>
              <w:spacing w:line="360" w:lineRule="auto"/>
              <w:rPr>
                <w:rFonts w:ascii="宋体" w:hAnsi="宋体"/>
                <w:kern w:val="0"/>
                <w:sz w:val="24"/>
              </w:rPr>
            </w:pPr>
            <w:r>
              <w:rPr>
                <w:rFonts w:hint="eastAsia" w:ascii="宋体" w:hAnsi="宋体"/>
                <w:kern w:val="0"/>
                <w:sz w:val="24"/>
              </w:rPr>
              <w:t>阜阳交通能源投资有限公司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2880" w:type="dxa"/>
            <w:vAlign w:val="center"/>
          </w:tcPr>
          <w:p>
            <w:pPr>
              <w:spacing w:line="360" w:lineRule="auto"/>
              <w:rPr>
                <w:rFonts w:ascii="宋体" w:hAnsi="宋体"/>
                <w:kern w:val="0"/>
                <w:sz w:val="24"/>
              </w:rPr>
            </w:pPr>
            <w:r>
              <w:rPr>
                <w:rFonts w:ascii="宋体" w:hAnsi="宋体"/>
                <w:kern w:val="0"/>
                <w:sz w:val="24"/>
              </w:rPr>
              <w:t>债券性质</w:t>
            </w:r>
          </w:p>
        </w:tc>
        <w:tc>
          <w:tcPr>
            <w:tcW w:w="5580" w:type="dxa"/>
            <w:vAlign w:val="center"/>
          </w:tcPr>
          <w:p>
            <w:pPr>
              <w:spacing w:line="360" w:lineRule="auto"/>
              <w:rPr>
                <w:rFonts w:ascii="宋体" w:hAnsi="宋体"/>
                <w:kern w:val="0"/>
                <w:sz w:val="24"/>
              </w:rPr>
            </w:pPr>
            <w:r>
              <w:rPr>
                <w:rFonts w:ascii="宋体" w:hAnsi="宋体"/>
                <w:kern w:val="0"/>
                <w:sz w:val="24"/>
              </w:rPr>
              <w:t>公司债券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2880" w:type="dxa"/>
            <w:vAlign w:val="center"/>
          </w:tcPr>
          <w:p>
            <w:pPr>
              <w:spacing w:line="360" w:lineRule="auto"/>
              <w:rPr>
                <w:rFonts w:ascii="宋体" w:hAnsi="宋体"/>
                <w:kern w:val="0"/>
                <w:sz w:val="24"/>
              </w:rPr>
            </w:pPr>
            <w:r>
              <w:rPr>
                <w:rFonts w:ascii="宋体" w:hAnsi="宋体"/>
                <w:kern w:val="0"/>
                <w:sz w:val="24"/>
              </w:rPr>
              <w:t>债券发行规模</w:t>
            </w:r>
          </w:p>
        </w:tc>
        <w:tc>
          <w:tcPr>
            <w:tcW w:w="5580" w:type="dxa"/>
            <w:vAlign w:val="center"/>
          </w:tcPr>
          <w:p>
            <w:pPr>
              <w:spacing w:line="360" w:lineRule="auto"/>
              <w:rPr>
                <w:rFonts w:ascii="宋体" w:hAnsi="宋体"/>
                <w:kern w:val="0"/>
                <w:sz w:val="24"/>
              </w:rPr>
            </w:pPr>
            <w:r>
              <w:rPr>
                <w:rFonts w:hint="eastAsia" w:ascii="宋体" w:hAnsi="宋体"/>
                <w:kern w:val="0"/>
                <w:sz w:val="24"/>
              </w:rPr>
              <w:t>15</w:t>
            </w:r>
            <w:r>
              <w:rPr>
                <w:rFonts w:ascii="宋体" w:hAnsi="宋体"/>
                <w:kern w:val="0"/>
                <w:sz w:val="24"/>
              </w:rPr>
              <w:t>亿元人民币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2880" w:type="dxa"/>
            <w:vAlign w:val="center"/>
          </w:tcPr>
          <w:p>
            <w:pPr>
              <w:spacing w:line="360" w:lineRule="auto"/>
              <w:rPr>
                <w:rFonts w:ascii="宋体" w:hAnsi="宋体"/>
                <w:kern w:val="0"/>
                <w:sz w:val="24"/>
              </w:rPr>
            </w:pPr>
            <w:r>
              <w:rPr>
                <w:rFonts w:ascii="宋体" w:hAnsi="宋体"/>
                <w:kern w:val="0"/>
                <w:sz w:val="24"/>
              </w:rPr>
              <w:t>债券承销方式</w:t>
            </w:r>
          </w:p>
        </w:tc>
        <w:tc>
          <w:tcPr>
            <w:tcW w:w="5580" w:type="dxa"/>
            <w:vAlign w:val="center"/>
          </w:tcPr>
          <w:p>
            <w:pPr>
              <w:spacing w:line="360" w:lineRule="auto"/>
              <w:rPr>
                <w:rFonts w:ascii="宋体" w:hAnsi="宋体"/>
                <w:kern w:val="0"/>
                <w:sz w:val="24"/>
              </w:rPr>
            </w:pPr>
            <w:r>
              <w:rPr>
                <w:rFonts w:ascii="宋体" w:hAnsi="宋体"/>
                <w:kern w:val="0"/>
                <w:sz w:val="24"/>
              </w:rPr>
              <w:t>余额包销方式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2880" w:type="dxa"/>
            <w:vAlign w:val="center"/>
          </w:tcPr>
          <w:p>
            <w:pPr>
              <w:spacing w:line="360" w:lineRule="auto"/>
              <w:rPr>
                <w:rFonts w:ascii="宋体" w:hAnsi="宋体"/>
                <w:kern w:val="0"/>
                <w:sz w:val="24"/>
              </w:rPr>
            </w:pPr>
            <w:r>
              <w:rPr>
                <w:rFonts w:ascii="宋体" w:hAnsi="宋体"/>
                <w:kern w:val="0"/>
                <w:sz w:val="24"/>
              </w:rPr>
              <w:t>债券期限</w:t>
            </w:r>
          </w:p>
        </w:tc>
        <w:tc>
          <w:tcPr>
            <w:tcW w:w="5580" w:type="dxa"/>
            <w:vAlign w:val="center"/>
          </w:tcPr>
          <w:p>
            <w:pPr>
              <w:spacing w:line="360" w:lineRule="auto"/>
              <w:rPr>
                <w:rFonts w:ascii="宋体" w:hAnsi="宋体"/>
                <w:kern w:val="0"/>
                <w:sz w:val="24"/>
              </w:rPr>
            </w:pPr>
            <w:r>
              <w:rPr>
                <w:rFonts w:hint="eastAsia" w:ascii="宋体" w:hAnsi="宋体"/>
                <w:kern w:val="0"/>
                <w:sz w:val="24"/>
              </w:rPr>
              <w:t>3</w:t>
            </w:r>
            <w:r>
              <w:rPr>
                <w:rFonts w:ascii="宋体" w:hAnsi="宋体"/>
                <w:kern w:val="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2880" w:type="dxa"/>
            <w:vAlign w:val="center"/>
          </w:tcPr>
          <w:p>
            <w:pPr>
              <w:spacing w:line="360" w:lineRule="auto"/>
              <w:rPr>
                <w:rFonts w:ascii="宋体" w:hAnsi="宋体"/>
                <w:kern w:val="0"/>
                <w:sz w:val="24"/>
              </w:rPr>
            </w:pPr>
            <w:r>
              <w:rPr>
                <w:rFonts w:ascii="宋体" w:hAnsi="宋体"/>
                <w:kern w:val="0"/>
                <w:sz w:val="24"/>
              </w:rPr>
              <w:t>债券利率</w:t>
            </w:r>
          </w:p>
        </w:tc>
        <w:tc>
          <w:tcPr>
            <w:tcW w:w="5580" w:type="dxa"/>
            <w:vAlign w:val="center"/>
          </w:tcPr>
          <w:p>
            <w:pPr>
              <w:spacing w:line="360" w:lineRule="auto"/>
              <w:rPr>
                <w:rFonts w:ascii="宋体" w:hAnsi="宋体"/>
                <w:kern w:val="0"/>
                <w:sz w:val="24"/>
              </w:rPr>
            </w:pPr>
            <w:r>
              <w:rPr>
                <w:rFonts w:ascii="宋体" w:hAnsi="宋体"/>
                <w:kern w:val="0"/>
                <w:sz w:val="24"/>
              </w:rPr>
              <w:t>固定利率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2880" w:type="dxa"/>
            <w:vAlign w:val="center"/>
          </w:tcPr>
          <w:p>
            <w:pPr>
              <w:spacing w:line="360" w:lineRule="auto"/>
              <w:rPr>
                <w:rFonts w:ascii="宋体" w:hAnsi="宋体"/>
                <w:kern w:val="0"/>
                <w:sz w:val="24"/>
              </w:rPr>
            </w:pPr>
            <w:r>
              <w:rPr>
                <w:rFonts w:hint="eastAsia" w:ascii="宋体" w:hAnsi="宋体"/>
                <w:kern w:val="0"/>
                <w:sz w:val="24"/>
              </w:rPr>
              <w:t>发行方式</w:t>
            </w:r>
          </w:p>
        </w:tc>
        <w:tc>
          <w:tcPr>
            <w:tcW w:w="5580" w:type="dxa"/>
            <w:vAlign w:val="center"/>
          </w:tcPr>
          <w:p>
            <w:pPr>
              <w:spacing w:line="360" w:lineRule="auto"/>
              <w:rPr>
                <w:rFonts w:ascii="宋体" w:hAnsi="宋体"/>
                <w:kern w:val="0"/>
                <w:sz w:val="24"/>
              </w:rPr>
            </w:pPr>
            <w:r>
              <w:rPr>
                <w:rFonts w:hint="eastAsia" w:ascii="宋体" w:hAnsi="宋体"/>
                <w:kern w:val="0"/>
                <w:sz w:val="24"/>
              </w:rPr>
              <w:t>非公开发行</w:t>
            </w:r>
          </w:p>
        </w:tc>
      </w:tr>
    </w:tbl>
    <w:p>
      <w:pPr>
        <w:spacing w:line="560" w:lineRule="exact"/>
        <w:jc w:val="left"/>
        <w:rPr>
          <w:rFonts w:ascii="宋体" w:cs="宋体"/>
          <w:bCs/>
        </w:rPr>
      </w:pPr>
      <w:r>
        <w:rPr>
          <w:rFonts w:hint="eastAsia" w:ascii="宋体" w:cs="宋体"/>
          <w:bCs/>
        </w:rPr>
        <w:t xml:space="preserve">   三、服务要求</w:t>
      </w:r>
    </w:p>
    <w:p>
      <w:pPr>
        <w:spacing w:line="360" w:lineRule="auto"/>
        <w:ind w:firstLine="420" w:firstLineChars="200"/>
        <w:rPr>
          <w:rFonts w:ascii="宋体"/>
          <w:b/>
        </w:rPr>
      </w:pPr>
      <w:r>
        <w:rPr>
          <w:rFonts w:hint="eastAsia" w:ascii="宋体" w:cs="宋体"/>
          <w:bCs/>
        </w:rPr>
        <w:t>主承销商服务内容如下：</w:t>
      </w:r>
      <w:r>
        <w:rPr>
          <w:rFonts w:ascii="宋体"/>
          <w:b/>
        </w:rPr>
        <w:t>包括但不限于如下方面</w:t>
      </w:r>
      <w:r>
        <w:rPr>
          <w:rFonts w:hint="eastAsia" w:ascii="宋体"/>
          <w:b/>
        </w:rPr>
        <w:t>：</w:t>
      </w:r>
    </w:p>
    <w:p>
      <w:pPr>
        <w:spacing w:line="360" w:lineRule="auto"/>
        <w:rPr>
          <w:rFonts w:ascii="宋体" w:cs="宋体"/>
          <w:bCs/>
        </w:rPr>
      </w:pPr>
      <w:r>
        <w:rPr>
          <w:rFonts w:hint="eastAsia" w:ascii="宋体" w:cs="宋体"/>
          <w:bCs/>
        </w:rPr>
        <w:t xml:space="preserve">     1、负责发行申请材料的编制，配合企业进行报批，完成公司债券发行申请，组织承销团，承销发行公司债券，并承担承销团佣金;</w:t>
      </w:r>
    </w:p>
    <w:p>
      <w:pPr>
        <w:pStyle w:val="26"/>
        <w:spacing w:line="300" w:lineRule="auto"/>
        <w:ind w:firstLine="0" w:firstLineChars="0"/>
        <w:outlineLvl w:val="2"/>
        <w:rPr>
          <w:rFonts w:ascii="宋体" w:eastAsia="宋体"/>
          <w:sz w:val="21"/>
          <w:szCs w:val="21"/>
        </w:rPr>
      </w:pPr>
      <w:r>
        <w:rPr>
          <w:rFonts w:hint="eastAsia" w:ascii="宋体" w:eastAsia="宋体"/>
          <w:sz w:val="21"/>
          <w:szCs w:val="21"/>
        </w:rPr>
        <w:t xml:space="preserve">     2、具体工作内容：</w:t>
      </w:r>
      <w:r>
        <w:rPr>
          <w:rFonts w:ascii="宋体" w:eastAsia="宋体"/>
          <w:b/>
          <w:sz w:val="21"/>
          <w:szCs w:val="21"/>
        </w:rPr>
        <w:t>包括但不限于如下</w:t>
      </w:r>
      <w:r>
        <w:rPr>
          <w:rFonts w:hint="eastAsia" w:ascii="宋体" w:eastAsia="宋体"/>
          <w:b/>
          <w:sz w:val="21"/>
          <w:szCs w:val="21"/>
        </w:rPr>
        <w:t>工作</w:t>
      </w:r>
    </w:p>
    <w:p>
      <w:pPr>
        <w:pStyle w:val="26"/>
        <w:spacing w:line="300" w:lineRule="auto"/>
        <w:ind w:firstLine="0" w:firstLineChars="0"/>
        <w:outlineLvl w:val="2"/>
        <w:rPr>
          <w:rFonts w:ascii="宋体" w:eastAsia="宋体"/>
          <w:sz w:val="21"/>
          <w:szCs w:val="21"/>
        </w:rPr>
      </w:pPr>
      <w:r>
        <w:rPr>
          <w:rFonts w:hint="eastAsia" w:ascii="宋体" w:eastAsia="宋体"/>
          <w:sz w:val="21"/>
          <w:szCs w:val="21"/>
        </w:rPr>
        <w:t xml:space="preserve">     1）</w:t>
      </w:r>
      <w:r>
        <w:rPr>
          <w:rFonts w:ascii="宋体" w:eastAsia="宋体"/>
          <w:sz w:val="21"/>
          <w:szCs w:val="21"/>
        </w:rPr>
        <w:t>发行方案建议：对本次公司债发行规模、期限结构、预计发行利率、关键条款等方案内容提出建议，并提出工作日程安排；</w:t>
      </w:r>
    </w:p>
    <w:p>
      <w:pPr>
        <w:pStyle w:val="26"/>
        <w:spacing w:line="300" w:lineRule="auto"/>
        <w:ind w:left="464" w:leftChars="171" w:hanging="105" w:hangingChars="50"/>
        <w:outlineLvl w:val="2"/>
        <w:rPr>
          <w:rFonts w:ascii="宋体" w:eastAsia="宋体"/>
          <w:sz w:val="21"/>
          <w:szCs w:val="21"/>
        </w:rPr>
      </w:pPr>
      <w:r>
        <w:rPr>
          <w:rFonts w:hint="eastAsia" w:ascii="宋体" w:eastAsia="宋体"/>
          <w:sz w:val="21"/>
          <w:szCs w:val="21"/>
        </w:rPr>
        <w:t xml:space="preserve"> 2）</w:t>
      </w:r>
      <w:r>
        <w:rPr>
          <w:rFonts w:ascii="宋体" w:eastAsia="宋体"/>
          <w:sz w:val="21"/>
          <w:szCs w:val="21"/>
        </w:rPr>
        <w:t>文件准备：统筹中介机构完成申报文件的制作及准备，发表核查意见，按照监管要求提交本次项目相关文件及材料；</w:t>
      </w:r>
    </w:p>
    <w:p>
      <w:pPr>
        <w:pStyle w:val="26"/>
        <w:spacing w:line="300" w:lineRule="auto"/>
        <w:ind w:left="420" w:hanging="420" w:hangingChars="200"/>
        <w:outlineLvl w:val="2"/>
        <w:rPr>
          <w:rFonts w:ascii="宋体" w:eastAsia="宋体"/>
          <w:sz w:val="21"/>
          <w:szCs w:val="21"/>
        </w:rPr>
      </w:pPr>
      <w:r>
        <w:rPr>
          <w:rFonts w:hint="eastAsia" w:ascii="宋体" w:eastAsia="宋体"/>
          <w:sz w:val="21"/>
          <w:szCs w:val="21"/>
        </w:rPr>
        <w:t xml:space="preserve">    3）</w:t>
      </w:r>
      <w:r>
        <w:rPr>
          <w:rFonts w:ascii="宋体" w:eastAsia="宋体"/>
          <w:sz w:val="21"/>
          <w:szCs w:val="21"/>
        </w:rPr>
        <w:t>监管沟通：负责与中国证监会、交易所等监管机构的沟通工作，配合监管机构审核，组织回复监管机构反馈意见；</w:t>
      </w:r>
    </w:p>
    <w:p>
      <w:pPr>
        <w:pStyle w:val="26"/>
        <w:spacing w:line="300" w:lineRule="auto"/>
        <w:ind w:left="420" w:hanging="420" w:hangingChars="200"/>
        <w:outlineLvl w:val="2"/>
        <w:rPr>
          <w:rFonts w:ascii="宋体" w:cs="宋体"/>
          <w:bCs/>
        </w:rPr>
      </w:pPr>
      <w:r>
        <w:rPr>
          <w:rFonts w:hint="eastAsia" w:ascii="宋体" w:eastAsia="宋体"/>
          <w:sz w:val="21"/>
          <w:szCs w:val="21"/>
        </w:rPr>
        <w:t xml:space="preserve">    4）</w:t>
      </w:r>
      <w:r>
        <w:rPr>
          <w:rFonts w:ascii="宋体" w:eastAsia="宋体"/>
          <w:sz w:val="21"/>
          <w:szCs w:val="21"/>
        </w:rPr>
        <w:t>发行及上市：根据市场情况建议发行窗口、确定利率区间、明确承销方式，进行簿记建档并办理后续登记托管、上市手续及提供债券存续期内的付息兑付和持续信息披露等服务。</w:t>
      </w:r>
    </w:p>
    <w:p>
      <w:pPr>
        <w:spacing w:line="360" w:lineRule="auto"/>
        <w:ind w:firstLine="420" w:firstLineChars="200"/>
        <w:rPr>
          <w:rFonts w:ascii="宋体" w:cs="宋体"/>
          <w:bCs/>
        </w:rPr>
      </w:pPr>
      <w:r>
        <w:rPr>
          <w:rFonts w:hint="eastAsia" w:ascii="宋体" w:cs="宋体"/>
          <w:bCs/>
        </w:rPr>
        <w:t>3、乙方有义务协助甲方选聘有助于本期公司债券发行的审计机构、评级机构、律师事务所等；</w:t>
      </w:r>
    </w:p>
    <w:p>
      <w:pPr>
        <w:spacing w:line="360" w:lineRule="auto"/>
        <w:ind w:firstLine="420" w:firstLineChars="200"/>
        <w:rPr>
          <w:rFonts w:ascii="宋体" w:cs="宋体"/>
          <w:bCs/>
        </w:rPr>
      </w:pPr>
      <w:r>
        <w:rPr>
          <w:rFonts w:hint="eastAsia" w:ascii="宋体" w:cs="宋体"/>
          <w:bCs/>
        </w:rPr>
        <w:t>4、代理发行人兑付本次公司债券本息；</w:t>
      </w:r>
    </w:p>
    <w:p>
      <w:pPr>
        <w:spacing w:line="360" w:lineRule="auto"/>
        <w:ind w:firstLine="420" w:firstLineChars="200"/>
        <w:rPr>
          <w:rFonts w:ascii="宋体" w:cs="宋体"/>
          <w:bCs/>
        </w:rPr>
      </w:pPr>
      <w:r>
        <w:rPr>
          <w:rFonts w:hint="eastAsia" w:ascii="宋体" w:cs="宋体"/>
          <w:bCs/>
        </w:rPr>
        <w:t>5、代理或协助本次公司债券持有人依法进行交易。</w:t>
      </w:r>
    </w:p>
    <w:p>
      <w:pPr>
        <w:spacing w:line="560" w:lineRule="exact"/>
        <w:ind w:firstLine="412" w:firstLineChars="196"/>
        <w:jc w:val="left"/>
        <w:rPr>
          <w:rFonts w:ascii="宋体" w:cs="宋体"/>
          <w:bCs/>
        </w:rPr>
      </w:pPr>
      <w:r>
        <w:rPr>
          <w:rFonts w:hint="eastAsia" w:ascii="宋体" w:cs="宋体"/>
          <w:bCs/>
        </w:rPr>
        <w:t>四、报价要求：</w:t>
      </w:r>
    </w:p>
    <w:p>
      <w:pPr>
        <w:spacing w:line="560" w:lineRule="exact"/>
        <w:ind w:firstLine="412" w:firstLineChars="196"/>
        <w:jc w:val="left"/>
        <w:rPr>
          <w:rFonts w:ascii="宋体" w:cs="宋体"/>
          <w:bCs/>
        </w:rPr>
      </w:pPr>
      <w:r>
        <w:rPr>
          <w:rFonts w:hint="eastAsia" w:ascii="宋体" w:cs="宋体"/>
          <w:bCs/>
        </w:rPr>
        <w:t>1、承销费费率报价不得高于承销费费率报价限价（招标控制价）；</w:t>
      </w:r>
    </w:p>
    <w:p>
      <w:pPr>
        <w:spacing w:line="560" w:lineRule="exact"/>
        <w:ind w:firstLine="412" w:firstLineChars="196"/>
        <w:jc w:val="left"/>
        <w:rPr>
          <w:rFonts w:ascii="宋体" w:cs="宋体"/>
          <w:bCs/>
        </w:rPr>
      </w:pPr>
      <w:r>
        <w:rPr>
          <w:rFonts w:hint="eastAsia" w:ascii="宋体" w:cs="宋体"/>
          <w:bCs/>
        </w:rPr>
        <w:t>2、所报发行利率区间不得超过50bp；</w:t>
      </w:r>
    </w:p>
    <w:p>
      <w:pPr>
        <w:spacing w:line="360" w:lineRule="auto"/>
        <w:ind w:firstLine="480"/>
        <w:rPr>
          <w:rFonts w:ascii="宋体" w:hAnsi="宋体"/>
          <w:sz w:val="24"/>
        </w:rPr>
      </w:pPr>
      <w:r>
        <w:rPr>
          <w:rFonts w:hint="eastAsia" w:ascii="宋体" w:cs="宋体"/>
          <w:bCs/>
        </w:rPr>
        <w:t>五、其它要求：</w:t>
      </w:r>
    </w:p>
    <w:p>
      <w:pPr>
        <w:spacing w:line="360" w:lineRule="auto"/>
        <w:ind w:firstLine="480"/>
        <w:rPr>
          <w:rFonts w:ascii="宋体" w:hAnsi="宋体"/>
          <w:sz w:val="24"/>
        </w:rPr>
      </w:pPr>
      <w:r>
        <w:rPr>
          <w:rFonts w:hint="eastAsia" w:ascii="宋体" w:hAnsi="宋体"/>
          <w:sz w:val="24"/>
        </w:rPr>
        <w:t>1</w:t>
      </w:r>
      <w:r>
        <w:rPr>
          <w:rFonts w:ascii="宋体" w:hAnsi="宋体"/>
          <w:sz w:val="24"/>
        </w:rPr>
        <w:t>、本次公司债券发行需要组织副主承销商。承销商承销公司债券，要求采取余额包销方式。</w:t>
      </w:r>
    </w:p>
    <w:p>
      <w:pPr>
        <w:spacing w:line="360" w:lineRule="auto"/>
        <w:ind w:left="719" w:leftChars="228" w:hanging="240" w:hangingChars="100"/>
        <w:rPr>
          <w:rFonts w:ascii="宋体" w:hAnsi="宋体"/>
          <w:sz w:val="24"/>
        </w:rPr>
      </w:pPr>
      <w:r>
        <w:rPr>
          <w:rFonts w:hint="eastAsia" w:ascii="宋体" w:hAnsi="宋体"/>
          <w:sz w:val="24"/>
        </w:rPr>
        <w:t>2</w:t>
      </w:r>
      <w:r>
        <w:rPr>
          <w:rFonts w:ascii="宋体" w:hAnsi="宋体"/>
          <w:sz w:val="24"/>
        </w:rPr>
        <w:t>、主承销商和其组织的副主承销商和承销团应当承担以下职责和义务：</w:t>
      </w:r>
    </w:p>
    <w:p>
      <w:pPr>
        <w:spacing w:line="360" w:lineRule="auto"/>
        <w:ind w:left="719" w:leftChars="234" w:hanging="228" w:hangingChars="95"/>
        <w:rPr>
          <w:rFonts w:ascii="宋体" w:hAnsi="宋体"/>
          <w:sz w:val="24"/>
        </w:rPr>
      </w:pPr>
      <w:r>
        <w:rPr>
          <w:rFonts w:ascii="宋体" w:hAnsi="宋体"/>
          <w:sz w:val="24"/>
        </w:rPr>
        <w:t>（1）承销本次公司债券；</w:t>
      </w:r>
    </w:p>
    <w:p>
      <w:pPr>
        <w:spacing w:line="360" w:lineRule="auto"/>
        <w:ind w:left="719" w:leftChars="234" w:hanging="228" w:hangingChars="95"/>
        <w:rPr>
          <w:rFonts w:ascii="宋体" w:hAnsi="宋体"/>
          <w:sz w:val="24"/>
        </w:rPr>
      </w:pPr>
      <w:r>
        <w:rPr>
          <w:rFonts w:ascii="宋体" w:hAnsi="宋体"/>
          <w:sz w:val="24"/>
        </w:rPr>
        <w:t>（2）代理或者协助发行人兑付本次公司债券本息；</w:t>
      </w:r>
    </w:p>
    <w:p>
      <w:pPr>
        <w:spacing w:line="360" w:lineRule="auto"/>
        <w:ind w:left="1" w:firstLine="480" w:firstLineChars="200"/>
        <w:rPr>
          <w:rFonts w:ascii="宋体" w:hAnsi="宋体"/>
          <w:sz w:val="24"/>
        </w:rPr>
      </w:pPr>
      <w:r>
        <w:rPr>
          <w:rFonts w:ascii="宋体" w:hAnsi="宋体"/>
          <w:sz w:val="24"/>
        </w:rPr>
        <w:t>（3）代理或者协助本次公司债券持有人进行公司债券交易。</w:t>
      </w:r>
    </w:p>
    <w:p>
      <w:pPr>
        <w:spacing w:line="360" w:lineRule="auto"/>
        <w:ind w:left="719" w:leftChars="228" w:hanging="240" w:hangingChars="100"/>
        <w:rPr>
          <w:rFonts w:ascii="宋体" w:hAnsi="宋体"/>
          <w:sz w:val="24"/>
        </w:rPr>
      </w:pPr>
      <w:r>
        <w:rPr>
          <w:rFonts w:ascii="宋体" w:hAnsi="宋体"/>
          <w:sz w:val="24"/>
        </w:rPr>
        <w:t>（4）主承销商对本次公司债券发行人申请材料的真实性、准确性、完整性进行核查，督促本次公司债券发行公司及时履行信息披露；</w:t>
      </w:r>
    </w:p>
    <w:p>
      <w:pPr>
        <w:spacing w:line="560" w:lineRule="exact"/>
        <w:ind w:firstLine="412" w:firstLineChars="196"/>
        <w:jc w:val="left"/>
        <w:rPr>
          <w:rFonts w:ascii="宋体" w:cs="宋体"/>
          <w:bCs/>
        </w:rPr>
      </w:pPr>
      <w:r>
        <w:rPr>
          <w:rFonts w:hint="eastAsia" w:ascii="宋体" w:cs="宋体"/>
          <w:bCs/>
        </w:rPr>
        <w:t>3、中标后如不能履行承诺，或在承诺期内，完成本次公司债券申请及批准，如果材料不予受理或被退回次数合计超过三次的，招标人有权没收履约保证金、取消主承销商资格、终止本次合作。</w:t>
      </w:r>
    </w:p>
    <w:p>
      <w:pPr>
        <w:spacing w:line="560" w:lineRule="exact"/>
        <w:ind w:firstLine="420"/>
        <w:jc w:val="left"/>
        <w:rPr>
          <w:rFonts w:ascii="宋体" w:hAnsi="宋体" w:cs="宋体"/>
        </w:rPr>
      </w:pPr>
      <w:r>
        <w:rPr>
          <w:rFonts w:hint="eastAsia" w:ascii="宋体" w:hAnsi="宋体" w:cs="宋体"/>
        </w:rPr>
        <w:t>4、实际发行利率要求：保证中标后实际发行利率不得高于，投标时所报的发行利率区间上限，否则每超过上限10bp,扣30万元（不足部分四舍五入）承销费，扣完为止。</w:t>
      </w:r>
    </w:p>
    <w:p>
      <w:pPr>
        <w:spacing w:line="560" w:lineRule="exact"/>
        <w:ind w:firstLine="420"/>
        <w:jc w:val="left"/>
        <w:rPr>
          <w:rFonts w:ascii="宋体" w:hAnsi="宋体" w:cs="宋体"/>
          <w:color w:val="FF0000"/>
          <w:highlight w:val="yellow"/>
        </w:rPr>
      </w:pPr>
      <w:r>
        <w:rPr>
          <w:rFonts w:hint="eastAsia" w:ascii="宋体" w:hAnsi="宋体" w:cs="宋体"/>
        </w:rPr>
        <w:t>5、</w:t>
      </w:r>
      <w:r>
        <w:rPr>
          <w:rFonts w:ascii="宋体" w:hAnsi="宋体"/>
          <w:sz w:val="24"/>
        </w:rPr>
        <w:t>证券业从业人员须具备《证券业从业资格证书》或学历、专业证书等。</w:t>
      </w:r>
    </w:p>
    <w:p>
      <w:pPr>
        <w:spacing w:line="560" w:lineRule="exact"/>
        <w:ind w:firstLine="412" w:firstLineChars="196"/>
        <w:jc w:val="left"/>
        <w:rPr>
          <w:rFonts w:ascii="宋体" w:cs="宋体"/>
          <w:bCs/>
        </w:rPr>
      </w:pPr>
      <w:r>
        <w:rPr>
          <w:rFonts w:hint="eastAsia" w:ascii="宋体" w:cs="宋体"/>
          <w:bCs/>
        </w:rPr>
        <w:t>五、支付方式</w:t>
      </w:r>
    </w:p>
    <w:p>
      <w:pPr>
        <w:spacing w:line="360" w:lineRule="auto"/>
        <w:ind w:firstLine="420" w:firstLineChars="200"/>
      </w:pPr>
      <w:r>
        <w:rPr>
          <w:rFonts w:hint="eastAsia"/>
        </w:rPr>
        <w:t>在发行期限结束后三个工作日内，收到</w:t>
      </w:r>
      <w:r>
        <w:rPr>
          <w:rFonts w:hint="eastAsia" w:ascii="宋体" w:cs="宋体"/>
          <w:bCs/>
        </w:rPr>
        <w:t>公司债券</w:t>
      </w:r>
      <w:r>
        <w:rPr>
          <w:rFonts w:hint="eastAsia"/>
        </w:rPr>
        <w:t>款项后一次性支付合同总金额；由主承销商直接从发行款项中扣除。</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jc w:val="center"/>
        <w:outlineLvl w:val="0"/>
        <w:rPr>
          <w:rFonts w:ascii="黑体" w:eastAsia="黑体"/>
          <w:b/>
          <w:sz w:val="32"/>
          <w:szCs w:val="32"/>
        </w:rPr>
      </w:pPr>
      <w:bookmarkStart w:id="173" w:name="_Toc475089543"/>
      <w:r>
        <w:rPr>
          <w:rFonts w:hint="eastAsia" w:ascii="黑体" w:eastAsia="黑体"/>
          <w:b/>
          <w:sz w:val="32"/>
          <w:szCs w:val="32"/>
        </w:rPr>
        <w:t>第五章  合同协议</w:t>
      </w:r>
      <w:bookmarkEnd w:id="173"/>
    </w:p>
    <w:p>
      <w:pPr>
        <w:spacing w:line="360" w:lineRule="auto"/>
        <w:jc w:val="center"/>
        <w:rPr>
          <w:rFonts w:ascii="宋体" w:hAnsi="宋体" w:cs="宋体"/>
          <w:b/>
          <w:bCs/>
          <w:sz w:val="18"/>
          <w:szCs w:val="18"/>
        </w:rPr>
      </w:pPr>
      <w:r>
        <w:rPr>
          <w:rFonts w:hint="eastAsia" w:ascii="宋体" w:hAnsi="宋体" w:cs="宋体"/>
          <w:sz w:val="18"/>
          <w:szCs w:val="18"/>
        </w:rPr>
        <w:t>（具体以协商合同协议为准）</w:t>
      </w:r>
    </w:p>
    <w:p>
      <w:pPr>
        <w:pStyle w:val="39"/>
        <w:spacing w:line="480" w:lineRule="atLeast"/>
        <w:rPr>
          <w:b/>
          <w:bCs/>
        </w:rPr>
      </w:pPr>
      <w:r>
        <w:rPr>
          <w:rFonts w:hint="eastAsia" w:ascii="微软雅黑" w:hAnsi="微软雅黑" w:eastAsia="微软雅黑" w:cs="微软雅黑"/>
        </w:rPr>
        <w:t xml:space="preserve">  </w:t>
      </w:r>
    </w:p>
    <w:p>
      <w:pPr>
        <w:pStyle w:val="39"/>
        <w:spacing w:line="480" w:lineRule="atLeast"/>
        <w:rPr>
          <w:b/>
          <w:bCs/>
        </w:rPr>
      </w:pPr>
    </w:p>
    <w:p>
      <w:pPr>
        <w:spacing w:line="360" w:lineRule="auto"/>
        <w:rPr>
          <w:b/>
          <w:bCs/>
        </w:rPr>
      </w:pPr>
    </w:p>
    <w:p>
      <w:pPr>
        <w:spacing w:line="360" w:lineRule="auto"/>
        <w:rPr>
          <w:b/>
          <w:bCs/>
        </w:rPr>
      </w:pPr>
    </w:p>
    <w:p>
      <w:pPr>
        <w:spacing w:line="360" w:lineRule="auto"/>
        <w:rPr>
          <w:b/>
          <w:bCs/>
        </w:rPr>
      </w:pPr>
    </w:p>
    <w:p>
      <w:pPr>
        <w:spacing w:line="360" w:lineRule="auto"/>
        <w:rPr>
          <w:b/>
          <w:bCs/>
        </w:rPr>
      </w:pPr>
    </w:p>
    <w:p>
      <w:pPr>
        <w:spacing w:line="360" w:lineRule="auto"/>
        <w:rPr>
          <w:b/>
          <w:bCs/>
        </w:rPr>
      </w:pPr>
    </w:p>
    <w:p>
      <w:pPr>
        <w:spacing w:line="360" w:lineRule="auto"/>
        <w:rPr>
          <w:b/>
          <w:bCs/>
        </w:rPr>
      </w:pPr>
    </w:p>
    <w:p>
      <w:pPr>
        <w:spacing w:line="360" w:lineRule="auto"/>
        <w:rPr>
          <w:b/>
          <w:bCs/>
        </w:rPr>
      </w:pPr>
    </w:p>
    <w:p>
      <w:pPr>
        <w:spacing w:line="360" w:lineRule="auto"/>
        <w:rPr>
          <w:b/>
          <w:bCs/>
        </w:rPr>
      </w:pPr>
    </w:p>
    <w:p>
      <w:pPr>
        <w:spacing w:line="360" w:lineRule="auto"/>
        <w:rPr>
          <w:b/>
          <w:bCs/>
        </w:rPr>
      </w:pPr>
    </w:p>
    <w:p>
      <w:pPr>
        <w:spacing w:line="360" w:lineRule="auto"/>
        <w:rPr>
          <w:b/>
          <w:bCs/>
        </w:rPr>
      </w:pPr>
    </w:p>
    <w:p>
      <w:pPr>
        <w:spacing w:line="360" w:lineRule="auto"/>
        <w:rPr>
          <w:b/>
          <w:bCs/>
        </w:rPr>
      </w:pPr>
    </w:p>
    <w:p>
      <w:pPr>
        <w:spacing w:line="360" w:lineRule="auto"/>
        <w:rPr>
          <w:b/>
          <w:bCs/>
        </w:rPr>
      </w:pPr>
    </w:p>
    <w:p>
      <w:pPr>
        <w:spacing w:line="360" w:lineRule="auto"/>
        <w:rPr>
          <w:b/>
          <w:bCs/>
        </w:rPr>
      </w:pPr>
    </w:p>
    <w:p>
      <w:pPr>
        <w:spacing w:line="360" w:lineRule="auto"/>
        <w:rPr>
          <w:b/>
          <w:bCs/>
        </w:rPr>
      </w:pPr>
    </w:p>
    <w:p>
      <w:pPr>
        <w:spacing w:line="360" w:lineRule="auto"/>
        <w:rPr>
          <w:b/>
          <w:bCs/>
        </w:rPr>
      </w:pPr>
    </w:p>
    <w:p>
      <w:pPr>
        <w:spacing w:line="360" w:lineRule="auto"/>
        <w:rPr>
          <w:b/>
          <w:bCs/>
        </w:rPr>
      </w:pPr>
    </w:p>
    <w:p>
      <w:pPr>
        <w:spacing w:line="360" w:lineRule="auto"/>
        <w:rPr>
          <w:b/>
          <w:bCs/>
        </w:rPr>
      </w:pPr>
    </w:p>
    <w:p>
      <w:pPr>
        <w:spacing w:line="360" w:lineRule="auto"/>
        <w:rPr>
          <w:b/>
          <w:bCs/>
        </w:rPr>
      </w:pPr>
    </w:p>
    <w:p>
      <w:pPr>
        <w:spacing w:line="360" w:lineRule="auto"/>
        <w:rPr>
          <w:b/>
          <w:bCs/>
        </w:rPr>
      </w:pPr>
    </w:p>
    <w:p>
      <w:pPr>
        <w:spacing w:line="360" w:lineRule="auto"/>
        <w:rPr>
          <w:b/>
          <w:bCs/>
        </w:rPr>
      </w:pPr>
    </w:p>
    <w:p>
      <w:pPr>
        <w:spacing w:line="360" w:lineRule="auto"/>
        <w:rPr>
          <w:b/>
          <w:bCs/>
        </w:rPr>
      </w:pPr>
    </w:p>
    <w:p>
      <w:pPr>
        <w:spacing w:line="360" w:lineRule="auto"/>
        <w:rPr>
          <w:b/>
          <w:bCs/>
        </w:rPr>
      </w:pPr>
    </w:p>
    <w:p>
      <w:pPr>
        <w:spacing w:line="360" w:lineRule="auto"/>
        <w:rPr>
          <w:b/>
          <w:bCs/>
        </w:rPr>
      </w:pPr>
    </w:p>
    <w:p>
      <w:pPr>
        <w:spacing w:line="360" w:lineRule="auto"/>
        <w:rPr>
          <w:b/>
          <w:bCs/>
        </w:rPr>
      </w:pPr>
    </w:p>
    <w:p>
      <w:pPr>
        <w:jc w:val="center"/>
        <w:outlineLvl w:val="0"/>
        <w:rPr>
          <w:rFonts w:ascii="黑体" w:eastAsia="黑体"/>
          <w:b/>
          <w:sz w:val="32"/>
          <w:szCs w:val="32"/>
        </w:rPr>
      </w:pPr>
      <w:r>
        <w:rPr>
          <w:rFonts w:hint="eastAsia" w:ascii="黑体" w:eastAsia="黑体"/>
          <w:b/>
          <w:sz w:val="32"/>
          <w:szCs w:val="32"/>
        </w:rPr>
        <w:t xml:space="preserve"> </w:t>
      </w:r>
      <w:bookmarkStart w:id="174" w:name="_Toc475089544"/>
      <w:r>
        <w:rPr>
          <w:rFonts w:hint="eastAsia" w:ascii="黑体" w:eastAsia="黑体"/>
          <w:b/>
          <w:sz w:val="32"/>
          <w:szCs w:val="32"/>
        </w:rPr>
        <w:t>第六章  投标文件格式</w:t>
      </w:r>
      <w:bookmarkEnd w:id="174"/>
    </w:p>
    <w:p>
      <w:pPr>
        <w:jc w:val="center"/>
        <w:outlineLvl w:val="0"/>
        <w:rPr>
          <w:rFonts w:ascii="黑体" w:eastAsia="黑体"/>
          <w:b/>
          <w:sz w:val="32"/>
          <w:szCs w:val="32"/>
          <w:highlight w:val="yellow"/>
        </w:rPr>
      </w:pPr>
    </w:p>
    <w:p>
      <w:pPr>
        <w:pStyle w:val="61"/>
        <w:snapToGrid w:val="0"/>
        <w:spacing w:line="300" w:lineRule="auto"/>
        <w:ind w:firstLine="0" w:firstLineChars="0"/>
        <w:jc w:val="center"/>
        <w:rPr>
          <w:rFonts w:ascii="宋体" w:eastAsia="宋体"/>
          <w:sz w:val="21"/>
          <w:szCs w:val="21"/>
        </w:rPr>
      </w:pPr>
    </w:p>
    <w:p>
      <w:pPr>
        <w:autoSpaceDE w:val="0"/>
        <w:autoSpaceDN w:val="0"/>
        <w:adjustRightInd w:val="0"/>
        <w:snapToGrid w:val="0"/>
        <w:spacing w:line="360" w:lineRule="auto"/>
        <w:jc w:val="center"/>
        <w:rPr>
          <w:rFonts w:ascii="宋体" w:cs="宋体"/>
          <w:b/>
          <w:spacing w:val="20"/>
          <w:kern w:val="0"/>
          <w:sz w:val="32"/>
          <w:szCs w:val="32"/>
          <w:u w:val="single"/>
        </w:rPr>
      </w:pPr>
      <w:permStart w:id="10" w:edGrp="everyone"/>
      <w:r>
        <w:rPr>
          <w:rFonts w:hint="eastAsia" w:ascii="宋体" w:cs="宋体"/>
          <w:b/>
          <w:spacing w:val="20"/>
          <w:kern w:val="0"/>
          <w:sz w:val="32"/>
          <w:szCs w:val="32"/>
          <w:u w:val="single"/>
        </w:rPr>
        <w:t xml:space="preserve">         </w:t>
      </w:r>
      <w:r>
        <w:rPr>
          <w:rFonts w:hint="eastAsia" w:ascii="宋体" w:cs="宋体"/>
          <w:b/>
          <w:spacing w:val="20"/>
          <w:kern w:val="0"/>
          <w:sz w:val="32"/>
          <w:szCs w:val="32"/>
        </w:rPr>
        <w:t>（项目名称）项目</w:t>
      </w:r>
      <w:permEnd w:id="10"/>
      <w:r>
        <w:rPr>
          <w:rFonts w:hint="eastAsia" w:ascii="宋体" w:cs="宋体"/>
          <w:b/>
          <w:spacing w:val="20"/>
          <w:kern w:val="0"/>
          <w:sz w:val="32"/>
          <w:szCs w:val="32"/>
        </w:rPr>
        <w:t>招标</w:t>
      </w:r>
    </w:p>
    <w:p>
      <w:pPr>
        <w:autoSpaceDE w:val="0"/>
        <w:autoSpaceDN w:val="0"/>
        <w:adjustRightInd w:val="0"/>
        <w:snapToGrid w:val="0"/>
        <w:spacing w:line="360" w:lineRule="auto"/>
        <w:jc w:val="center"/>
        <w:rPr>
          <w:rFonts w:ascii="宋体" w:cs="宋体"/>
          <w:b/>
          <w:spacing w:val="20"/>
          <w:kern w:val="0"/>
          <w:sz w:val="84"/>
          <w:szCs w:val="84"/>
        </w:rPr>
      </w:pPr>
    </w:p>
    <w:p>
      <w:pPr>
        <w:autoSpaceDE w:val="0"/>
        <w:autoSpaceDN w:val="0"/>
        <w:adjustRightInd w:val="0"/>
        <w:snapToGrid w:val="0"/>
        <w:spacing w:line="360" w:lineRule="auto"/>
        <w:jc w:val="center"/>
        <w:rPr>
          <w:rFonts w:ascii="宋体" w:cs="宋体"/>
          <w:b/>
          <w:spacing w:val="20"/>
          <w:kern w:val="0"/>
          <w:sz w:val="56"/>
          <w:szCs w:val="56"/>
        </w:rPr>
      </w:pPr>
      <w:r>
        <w:rPr>
          <w:rFonts w:hint="eastAsia" w:ascii="宋体" w:cs="宋体"/>
          <w:b/>
          <w:spacing w:val="20"/>
          <w:kern w:val="0"/>
          <w:sz w:val="56"/>
          <w:szCs w:val="56"/>
        </w:rPr>
        <w:t>投标文件</w:t>
      </w:r>
    </w:p>
    <w:p>
      <w:pPr>
        <w:autoSpaceDE w:val="0"/>
        <w:autoSpaceDN w:val="0"/>
        <w:adjustRightInd w:val="0"/>
        <w:snapToGrid w:val="0"/>
        <w:spacing w:line="360" w:lineRule="auto"/>
        <w:ind w:firstLine="2149" w:firstLineChars="595"/>
        <w:rPr>
          <w:rFonts w:ascii="宋体" w:cs="宋体"/>
          <w:b/>
          <w:spacing w:val="20"/>
          <w:kern w:val="0"/>
          <w:sz w:val="32"/>
          <w:szCs w:val="44"/>
        </w:rPr>
      </w:pPr>
      <w:r>
        <w:rPr>
          <w:rFonts w:hint="eastAsia" w:ascii="宋体" w:cs="宋体"/>
          <w:b/>
          <w:spacing w:val="20"/>
          <w:kern w:val="0"/>
          <w:sz w:val="32"/>
          <w:szCs w:val="44"/>
        </w:rPr>
        <w:t>项目编号:</w:t>
      </w:r>
      <w:permStart w:id="11" w:edGrp="everyone"/>
      <w:r>
        <w:rPr>
          <w:rFonts w:hint="eastAsia" w:ascii="宋体" w:cs="宋体"/>
          <w:b/>
          <w:spacing w:val="20"/>
          <w:kern w:val="0"/>
          <w:sz w:val="32"/>
          <w:szCs w:val="44"/>
          <w:u w:val="single"/>
        </w:rPr>
        <w:t xml:space="preserve">                 </w:t>
      </w:r>
    </w:p>
    <w:permEnd w:id="11"/>
    <w:p>
      <w:pPr>
        <w:autoSpaceDE w:val="0"/>
        <w:autoSpaceDN w:val="0"/>
        <w:adjustRightInd w:val="0"/>
        <w:snapToGrid w:val="0"/>
        <w:spacing w:line="360" w:lineRule="auto"/>
        <w:ind w:left="181" w:hanging="181" w:hangingChars="50"/>
        <w:jc w:val="right"/>
        <w:rPr>
          <w:rFonts w:ascii="宋体" w:cs="宋体"/>
          <w:b/>
          <w:spacing w:val="20"/>
          <w:kern w:val="0"/>
          <w:sz w:val="32"/>
          <w:szCs w:val="44"/>
        </w:rPr>
      </w:pPr>
    </w:p>
    <w:p>
      <w:pPr>
        <w:autoSpaceDE w:val="0"/>
        <w:autoSpaceDN w:val="0"/>
        <w:adjustRightInd w:val="0"/>
        <w:snapToGrid w:val="0"/>
        <w:spacing w:line="360" w:lineRule="auto"/>
        <w:ind w:left="181" w:hanging="181" w:hangingChars="50"/>
        <w:rPr>
          <w:rFonts w:ascii="宋体" w:cs="宋体"/>
          <w:b/>
          <w:spacing w:val="20"/>
          <w:kern w:val="0"/>
          <w:sz w:val="32"/>
          <w:szCs w:val="44"/>
        </w:rPr>
      </w:pPr>
    </w:p>
    <w:p>
      <w:pPr>
        <w:autoSpaceDE w:val="0"/>
        <w:autoSpaceDN w:val="0"/>
        <w:adjustRightInd w:val="0"/>
        <w:snapToGrid w:val="0"/>
        <w:spacing w:line="360" w:lineRule="auto"/>
        <w:ind w:left="181" w:hanging="181" w:hangingChars="50"/>
        <w:rPr>
          <w:rFonts w:ascii="宋体" w:cs="宋体"/>
          <w:b/>
          <w:spacing w:val="20"/>
          <w:kern w:val="0"/>
          <w:sz w:val="32"/>
          <w:szCs w:val="44"/>
        </w:rPr>
      </w:pPr>
    </w:p>
    <w:p>
      <w:pPr>
        <w:autoSpaceDE w:val="0"/>
        <w:autoSpaceDN w:val="0"/>
        <w:adjustRightInd w:val="0"/>
        <w:snapToGrid w:val="0"/>
        <w:spacing w:line="360" w:lineRule="auto"/>
        <w:ind w:left="181" w:hanging="181" w:hangingChars="50"/>
        <w:rPr>
          <w:rFonts w:ascii="宋体" w:cs="宋体"/>
          <w:b/>
          <w:spacing w:val="20"/>
          <w:kern w:val="0"/>
          <w:sz w:val="32"/>
          <w:szCs w:val="44"/>
        </w:rPr>
      </w:pPr>
    </w:p>
    <w:p>
      <w:pPr>
        <w:autoSpaceDE w:val="0"/>
        <w:autoSpaceDN w:val="0"/>
        <w:adjustRightInd w:val="0"/>
        <w:snapToGrid w:val="0"/>
        <w:spacing w:line="360" w:lineRule="auto"/>
        <w:rPr>
          <w:rFonts w:ascii="宋体" w:cs="宋体"/>
          <w:b/>
          <w:spacing w:val="20"/>
          <w:kern w:val="0"/>
          <w:sz w:val="32"/>
          <w:szCs w:val="44"/>
        </w:rPr>
      </w:pPr>
    </w:p>
    <w:p>
      <w:pPr>
        <w:autoSpaceDE w:val="0"/>
        <w:autoSpaceDN w:val="0"/>
        <w:adjustRightInd w:val="0"/>
        <w:snapToGrid w:val="0"/>
        <w:spacing w:line="360" w:lineRule="auto"/>
        <w:rPr>
          <w:rFonts w:ascii="宋体" w:cs="宋体"/>
          <w:b/>
          <w:spacing w:val="20"/>
          <w:kern w:val="0"/>
          <w:sz w:val="32"/>
          <w:szCs w:val="44"/>
        </w:rPr>
      </w:pPr>
    </w:p>
    <w:p>
      <w:pPr>
        <w:autoSpaceDE w:val="0"/>
        <w:autoSpaceDN w:val="0"/>
        <w:adjustRightInd w:val="0"/>
        <w:snapToGrid w:val="0"/>
        <w:spacing w:line="360" w:lineRule="auto"/>
        <w:ind w:left="183" w:leftChars="87" w:firstLine="535" w:firstLineChars="148"/>
        <w:jc w:val="left"/>
        <w:rPr>
          <w:rFonts w:ascii="宋体" w:cs="宋体"/>
          <w:b/>
          <w:bCs/>
          <w:sz w:val="32"/>
          <w:szCs w:val="32"/>
        </w:rPr>
      </w:pPr>
      <w:r>
        <w:rPr>
          <w:rFonts w:hint="eastAsia" w:ascii="宋体" w:cs="宋体"/>
          <w:b/>
          <w:spacing w:val="20"/>
          <w:kern w:val="0"/>
          <w:sz w:val="32"/>
          <w:szCs w:val="32"/>
        </w:rPr>
        <w:t xml:space="preserve">  投 标 人：</w:t>
      </w:r>
      <w:r>
        <w:rPr>
          <w:rFonts w:hint="eastAsia" w:ascii="宋体" w:cs="宋体"/>
          <w:b/>
          <w:bCs/>
          <w:sz w:val="32"/>
          <w:szCs w:val="32"/>
          <w:u w:val="single"/>
        </w:rPr>
        <w:t xml:space="preserve">                          </w:t>
      </w:r>
      <w:r>
        <w:rPr>
          <w:rFonts w:hint="eastAsia" w:ascii="宋体" w:cs="宋体"/>
          <w:b/>
          <w:bCs/>
          <w:sz w:val="32"/>
          <w:szCs w:val="32"/>
        </w:rPr>
        <w:t>（盖单位章）</w:t>
      </w:r>
    </w:p>
    <w:p>
      <w:pPr>
        <w:autoSpaceDE w:val="0"/>
        <w:autoSpaceDN w:val="0"/>
        <w:adjustRightInd w:val="0"/>
        <w:snapToGrid w:val="0"/>
        <w:spacing w:line="360" w:lineRule="auto"/>
        <w:ind w:left="183" w:leftChars="87" w:firstLine="535" w:firstLineChars="148"/>
        <w:jc w:val="left"/>
        <w:rPr>
          <w:rFonts w:ascii="宋体" w:cs="宋体"/>
          <w:b/>
          <w:color w:val="FF0000"/>
          <w:spacing w:val="20"/>
          <w:kern w:val="0"/>
          <w:sz w:val="32"/>
          <w:szCs w:val="32"/>
          <w:highlight w:val="yellow"/>
        </w:rPr>
      </w:pPr>
      <w:r>
        <w:rPr>
          <w:rFonts w:hint="eastAsia" w:ascii="宋体" w:cs="宋体"/>
          <w:b/>
          <w:spacing w:val="20"/>
          <w:kern w:val="0"/>
          <w:sz w:val="32"/>
          <w:szCs w:val="32"/>
        </w:rPr>
        <w:t xml:space="preserve">  法定代表人</w:t>
      </w:r>
    </w:p>
    <w:p>
      <w:pPr>
        <w:autoSpaceDE w:val="0"/>
        <w:autoSpaceDN w:val="0"/>
        <w:adjustRightInd w:val="0"/>
        <w:snapToGrid w:val="0"/>
        <w:spacing w:line="360" w:lineRule="auto"/>
        <w:ind w:left="183" w:leftChars="87" w:firstLine="892" w:firstLineChars="247"/>
        <w:jc w:val="left"/>
        <w:rPr>
          <w:rFonts w:ascii="宋体" w:cs="宋体"/>
          <w:b/>
          <w:bCs/>
          <w:sz w:val="32"/>
          <w:szCs w:val="32"/>
        </w:rPr>
      </w:pPr>
      <w:r>
        <w:rPr>
          <w:rFonts w:hint="eastAsia" w:ascii="宋体" w:cs="宋体"/>
          <w:b/>
          <w:spacing w:val="20"/>
          <w:kern w:val="0"/>
          <w:sz w:val="32"/>
          <w:szCs w:val="32"/>
        </w:rPr>
        <w:t>或其委托代理人：</w:t>
      </w:r>
      <w:r>
        <w:rPr>
          <w:rFonts w:hint="eastAsia" w:ascii="宋体" w:cs="宋体"/>
          <w:b/>
          <w:bCs/>
          <w:sz w:val="32"/>
          <w:szCs w:val="32"/>
          <w:u w:val="single"/>
        </w:rPr>
        <w:t xml:space="preserve">                  </w:t>
      </w:r>
      <w:r>
        <w:rPr>
          <w:rFonts w:hint="eastAsia" w:ascii="宋体" w:cs="宋体"/>
          <w:b/>
          <w:bCs/>
          <w:sz w:val="32"/>
          <w:szCs w:val="32"/>
        </w:rPr>
        <w:t>（签字或盖章）</w:t>
      </w:r>
    </w:p>
    <w:p>
      <w:pPr>
        <w:autoSpaceDE w:val="0"/>
        <w:autoSpaceDN w:val="0"/>
        <w:adjustRightInd w:val="0"/>
        <w:snapToGrid w:val="0"/>
        <w:spacing w:line="360" w:lineRule="auto"/>
        <w:ind w:left="183" w:leftChars="87" w:firstLine="535" w:firstLineChars="148"/>
        <w:jc w:val="left"/>
        <w:rPr>
          <w:rFonts w:ascii="宋体" w:cs="宋体"/>
          <w:b/>
          <w:bCs/>
          <w:sz w:val="36"/>
          <w:szCs w:val="36"/>
        </w:rPr>
      </w:pPr>
    </w:p>
    <w:p>
      <w:pPr>
        <w:jc w:val="center"/>
        <w:rPr>
          <w:rFonts w:ascii="宋体" w:cs="宋体"/>
          <w:b/>
          <w:spacing w:val="20"/>
          <w:kern w:val="0"/>
          <w:sz w:val="32"/>
          <w:szCs w:val="32"/>
        </w:rPr>
      </w:pPr>
      <w:r>
        <w:rPr>
          <w:rFonts w:hint="eastAsia" w:ascii="宋体" w:cs="宋体"/>
          <w:b/>
          <w:spacing w:val="20"/>
          <w:kern w:val="0"/>
          <w:sz w:val="32"/>
          <w:szCs w:val="32"/>
          <w:u w:val="single"/>
        </w:rPr>
        <w:t xml:space="preserve">     </w:t>
      </w:r>
      <w:r>
        <w:rPr>
          <w:rFonts w:hint="eastAsia" w:ascii="宋体" w:cs="宋体"/>
          <w:b/>
          <w:spacing w:val="20"/>
          <w:kern w:val="0"/>
          <w:sz w:val="32"/>
          <w:szCs w:val="32"/>
        </w:rPr>
        <w:t>年</w:t>
      </w:r>
      <w:r>
        <w:rPr>
          <w:rFonts w:hint="eastAsia" w:ascii="宋体" w:cs="宋体"/>
          <w:b/>
          <w:spacing w:val="20"/>
          <w:kern w:val="0"/>
          <w:sz w:val="32"/>
          <w:szCs w:val="32"/>
          <w:u w:val="single"/>
        </w:rPr>
        <w:t xml:space="preserve">     </w:t>
      </w:r>
      <w:r>
        <w:rPr>
          <w:rFonts w:hint="eastAsia" w:ascii="宋体" w:cs="宋体"/>
          <w:b/>
          <w:spacing w:val="20"/>
          <w:kern w:val="0"/>
          <w:sz w:val="32"/>
          <w:szCs w:val="32"/>
        </w:rPr>
        <w:t>月</w:t>
      </w:r>
      <w:r>
        <w:rPr>
          <w:rFonts w:hint="eastAsia" w:ascii="宋体" w:cs="宋体"/>
          <w:b/>
          <w:spacing w:val="20"/>
          <w:kern w:val="0"/>
          <w:sz w:val="32"/>
          <w:szCs w:val="32"/>
          <w:u w:val="single"/>
        </w:rPr>
        <w:t xml:space="preserve">    </w:t>
      </w:r>
      <w:r>
        <w:rPr>
          <w:rFonts w:hint="eastAsia" w:ascii="宋体" w:cs="宋体"/>
          <w:b/>
          <w:spacing w:val="20"/>
          <w:kern w:val="0"/>
          <w:sz w:val="32"/>
          <w:szCs w:val="32"/>
        </w:rPr>
        <w:t>日</w:t>
      </w:r>
    </w:p>
    <w:p>
      <w:bookmarkStart w:id="175" w:name="_Toc445796137"/>
    </w:p>
    <w:p/>
    <w:p>
      <w:pPr>
        <w:pStyle w:val="3"/>
        <w:spacing w:before="160" w:after="160"/>
        <w:jc w:val="center"/>
        <w:rPr>
          <w:rFonts w:ascii="宋体" w:eastAsia="宋体" w:cs="宋体"/>
          <w:sz w:val="24"/>
          <w:szCs w:val="24"/>
        </w:rPr>
      </w:pPr>
      <w:r>
        <w:rPr>
          <w:rFonts w:hint="eastAsia" w:ascii="宋体" w:eastAsia="宋体" w:cs="宋体"/>
          <w:sz w:val="24"/>
          <w:szCs w:val="24"/>
        </w:rPr>
        <w:t>1.投 标 函</w:t>
      </w:r>
      <w:bookmarkEnd w:id="175"/>
    </w:p>
    <w:p>
      <w:pPr>
        <w:spacing w:line="400" w:lineRule="exact"/>
        <w:rPr>
          <w:rFonts w:ascii="宋体" w:cs="宋体"/>
          <w:bCs/>
        </w:rPr>
      </w:pPr>
      <w:r>
        <w:rPr>
          <w:rFonts w:hint="eastAsia" w:ascii="宋体" w:cs="宋体"/>
          <w:bCs/>
        </w:rPr>
        <w:t>致：</w:t>
      </w:r>
      <w:r>
        <w:rPr>
          <w:rFonts w:hint="eastAsia" w:ascii="宋体" w:cs="宋体"/>
          <w:bCs/>
          <w:u w:val="single"/>
        </w:rPr>
        <w:t xml:space="preserve">                     </w:t>
      </w:r>
      <w:r>
        <w:rPr>
          <w:rFonts w:hint="eastAsia" w:ascii="宋体" w:cs="宋体"/>
          <w:bCs/>
        </w:rPr>
        <w:t xml:space="preserve">（招标人名称） </w:t>
      </w:r>
    </w:p>
    <w:p>
      <w:pPr>
        <w:numPr>
          <w:ilvl w:val="0"/>
          <w:numId w:val="4"/>
        </w:numPr>
        <w:spacing w:line="400" w:lineRule="exact"/>
        <w:ind w:firstLine="420" w:firstLineChars="200"/>
        <w:jc w:val="left"/>
        <w:rPr>
          <w:rFonts w:ascii="宋体" w:cs="宋体"/>
          <w:bCs/>
          <w:color w:val="000000" w:themeColor="text1"/>
        </w:rPr>
      </w:pPr>
      <w:r>
        <w:rPr>
          <w:rFonts w:hint="eastAsia" w:ascii="宋体" w:cs="宋体"/>
          <w:bCs/>
        </w:rPr>
        <w:t>己仔细研究了</w:t>
      </w:r>
      <w:r>
        <w:rPr>
          <w:rFonts w:hint="eastAsia" w:ascii="宋体" w:cs="宋体"/>
          <w:bCs/>
          <w:u w:val="single"/>
        </w:rPr>
        <w:t xml:space="preserve">      </w:t>
      </w:r>
      <w:r>
        <w:rPr>
          <w:rFonts w:hint="eastAsia" w:ascii="宋体" w:cs="宋体"/>
          <w:bCs/>
        </w:rPr>
        <w:t>（项目编号）</w:t>
      </w:r>
      <w:r>
        <w:rPr>
          <w:rFonts w:hint="eastAsia" w:ascii="宋体" w:cs="宋体"/>
          <w:bCs/>
          <w:u w:val="single"/>
        </w:rPr>
        <w:t xml:space="preserve">         （项目名称）       </w:t>
      </w:r>
      <w:r>
        <w:rPr>
          <w:rFonts w:hint="eastAsia" w:ascii="宋体" w:cs="宋体"/>
          <w:bCs/>
        </w:rPr>
        <w:t>招标文件的全部内容，经考察项目情况和研究上述项目招标文件要求及其他招标资料后，我方愿意以（小写）</w:t>
      </w:r>
      <w:r>
        <w:rPr>
          <w:rFonts w:hint="eastAsia" w:ascii="宋体" w:cs="宋体"/>
          <w:bCs/>
          <w:u w:val="single"/>
        </w:rPr>
        <w:t xml:space="preserve">    %    （大写）</w:t>
      </w:r>
      <w:r>
        <w:rPr>
          <w:rFonts w:hint="eastAsia" w:ascii="宋体" w:cs="宋体"/>
          <w:bCs/>
          <w:color w:val="000000" w:themeColor="text1"/>
        </w:rPr>
        <w:t>进行承销费费率报价，发行利率区间为（小写）</w:t>
      </w:r>
      <w:r>
        <w:rPr>
          <w:rFonts w:hint="eastAsia" w:ascii="宋体" w:cs="宋体"/>
          <w:bCs/>
          <w:color w:val="000000" w:themeColor="text1"/>
          <w:u w:val="single"/>
        </w:rPr>
        <w:t xml:space="preserve">    % -%     </w:t>
      </w:r>
      <w:r>
        <w:rPr>
          <w:rFonts w:hint="eastAsia" w:ascii="宋体" w:cs="宋体"/>
          <w:bCs/>
          <w:color w:val="000000" w:themeColor="text1"/>
        </w:rPr>
        <w:t>（大写）</w:t>
      </w:r>
      <w:r>
        <w:rPr>
          <w:rFonts w:hint="eastAsia" w:ascii="宋体" w:cs="宋体"/>
          <w:bCs/>
          <w:color w:val="000000" w:themeColor="text1"/>
          <w:u w:val="single"/>
        </w:rPr>
        <w:t xml:space="preserve">          </w:t>
      </w:r>
      <w:r>
        <w:rPr>
          <w:rFonts w:hint="eastAsia" w:ascii="宋体" w:cs="宋体"/>
          <w:bCs/>
          <w:color w:val="000000" w:themeColor="text1"/>
        </w:rPr>
        <w:t>。并按合同约定及承诺履行合同。</w:t>
      </w:r>
    </w:p>
    <w:p>
      <w:pPr>
        <w:numPr>
          <w:ilvl w:val="0"/>
          <w:numId w:val="4"/>
        </w:numPr>
        <w:spacing w:line="400" w:lineRule="exact"/>
        <w:ind w:firstLine="420" w:firstLineChars="200"/>
        <w:rPr>
          <w:rFonts w:ascii="宋体" w:cs="宋体"/>
          <w:bCs/>
          <w:color w:val="000000" w:themeColor="text1"/>
        </w:rPr>
      </w:pPr>
      <w:r>
        <w:rPr>
          <w:rFonts w:hint="eastAsia" w:ascii="宋体" w:cs="宋体"/>
          <w:bCs/>
          <w:color w:val="000000" w:themeColor="text1"/>
        </w:rPr>
        <w:t>我方承诺在投标有效期内不修改、撤销投标文件。</w:t>
      </w:r>
    </w:p>
    <w:p>
      <w:pPr>
        <w:tabs>
          <w:tab w:val="left" w:pos="0"/>
        </w:tabs>
        <w:spacing w:line="400" w:lineRule="exact"/>
        <w:ind w:left="420" w:leftChars="200"/>
        <w:rPr>
          <w:rFonts w:ascii="宋体" w:cs="宋体"/>
          <w:bCs/>
        </w:rPr>
      </w:pPr>
      <w:r>
        <w:rPr>
          <w:rFonts w:hint="eastAsia" w:ascii="宋体" w:cs="宋体"/>
        </w:rPr>
        <w:t>3</w:t>
      </w:r>
      <w:r>
        <w:rPr>
          <w:rFonts w:ascii="宋体" w:cs="宋体"/>
        </w:rPr>
        <w:t xml:space="preserve">. </w:t>
      </w:r>
      <w:r>
        <w:rPr>
          <w:rFonts w:hint="eastAsia" w:ascii="宋体" w:cs="宋体"/>
        </w:rPr>
        <w:t>在</w:t>
      </w:r>
      <w:r>
        <w:rPr>
          <w:rFonts w:ascii="宋体" w:cs="宋体"/>
          <w:u w:val="single"/>
        </w:rPr>
        <w:t xml:space="preserve">   </w:t>
      </w:r>
      <w:r>
        <w:rPr>
          <w:rFonts w:hint="eastAsia" w:ascii="宋体" w:cs="宋体"/>
        </w:rPr>
        <w:t>年</w:t>
      </w:r>
      <w:r>
        <w:rPr>
          <w:rFonts w:ascii="宋体" w:cs="宋体"/>
          <w:u w:val="single"/>
        </w:rPr>
        <w:t xml:space="preserve">   </w:t>
      </w:r>
      <w:r>
        <w:rPr>
          <w:rFonts w:hint="eastAsia" w:ascii="宋体" w:cs="宋体"/>
        </w:rPr>
        <w:t>月</w:t>
      </w:r>
      <w:r>
        <w:rPr>
          <w:rFonts w:ascii="宋体" w:cs="宋体"/>
          <w:u w:val="single"/>
        </w:rPr>
        <w:t xml:space="preserve">  </w:t>
      </w:r>
      <w:r>
        <w:rPr>
          <w:rFonts w:hint="eastAsia" w:ascii="宋体" w:cs="宋体"/>
        </w:rPr>
        <w:t>日提交投标保证金一份，金额为人民币（大写）</w:t>
      </w:r>
      <w:r>
        <w:rPr>
          <w:rFonts w:ascii="宋体" w:cs="宋体"/>
          <w:u w:val="single"/>
        </w:rPr>
        <w:t xml:space="preserve">          </w:t>
      </w:r>
      <w:r>
        <w:rPr>
          <w:rFonts w:hint="eastAsia" w:ascii="宋体" w:cs="宋体"/>
        </w:rPr>
        <w:t>元（￥</w:t>
      </w:r>
      <w:r>
        <w:rPr>
          <w:rFonts w:ascii="宋体" w:cs="宋体"/>
          <w:u w:val="single"/>
        </w:rPr>
        <w:t xml:space="preserve">            </w:t>
      </w:r>
      <w:r>
        <w:rPr>
          <w:rFonts w:hint="eastAsia" w:ascii="宋体" w:cs="宋体"/>
        </w:rPr>
        <w:t>）。</w:t>
      </w:r>
    </w:p>
    <w:p>
      <w:pPr>
        <w:spacing w:line="400" w:lineRule="exact"/>
        <w:ind w:firstLine="420" w:firstLineChars="200"/>
        <w:rPr>
          <w:rFonts w:ascii="宋体" w:cs="宋体"/>
          <w:bCs/>
        </w:rPr>
      </w:pPr>
      <w:r>
        <w:rPr>
          <w:rFonts w:hint="eastAsia" w:ascii="宋体" w:cs="宋体"/>
          <w:bCs/>
        </w:rPr>
        <w:t>4．如我方中标：</w:t>
      </w:r>
    </w:p>
    <w:p>
      <w:pPr>
        <w:spacing w:line="400" w:lineRule="exact"/>
        <w:ind w:firstLine="420" w:firstLineChars="200"/>
        <w:rPr>
          <w:rFonts w:ascii="宋体" w:cs="宋体"/>
          <w:bCs/>
        </w:rPr>
      </w:pPr>
      <w:r>
        <w:rPr>
          <w:rFonts w:hint="eastAsia" w:ascii="宋体" w:cs="宋体"/>
          <w:bCs/>
        </w:rPr>
        <w:t>(l）我方承诺在收到中标通知书后，在中标通知书规定的期限内与你方签订合同。</w:t>
      </w:r>
    </w:p>
    <w:p>
      <w:pPr>
        <w:spacing w:line="400" w:lineRule="exact"/>
        <w:ind w:firstLine="420" w:firstLineChars="200"/>
        <w:rPr>
          <w:rFonts w:ascii="宋体" w:cs="宋体"/>
          <w:bCs/>
        </w:rPr>
      </w:pPr>
      <w:r>
        <w:rPr>
          <w:rFonts w:hint="eastAsia" w:ascii="宋体" w:cs="宋体"/>
          <w:bCs/>
        </w:rPr>
        <w:t>(2）随同本投标函递交的投标函附录属于合同文件的组成部分。</w:t>
      </w:r>
    </w:p>
    <w:p>
      <w:pPr>
        <w:spacing w:line="400" w:lineRule="exact"/>
        <w:ind w:firstLine="420" w:firstLineChars="200"/>
        <w:rPr>
          <w:rFonts w:ascii="宋体" w:cs="宋体"/>
          <w:bCs/>
        </w:rPr>
      </w:pPr>
      <w:r>
        <w:rPr>
          <w:rFonts w:hint="eastAsia" w:ascii="宋体" w:cs="宋体"/>
          <w:bCs/>
        </w:rPr>
        <w:t>(3）我方承诺本投标函在招标文件规定的提交投标文件截止时间后，在招标文件规定的投标有效期期满前对我方具有约束力，且随时准备接受你方发出的中标通知书。</w:t>
      </w:r>
    </w:p>
    <w:p>
      <w:pPr>
        <w:spacing w:line="400" w:lineRule="exact"/>
        <w:ind w:firstLine="420" w:firstLineChars="200"/>
        <w:rPr>
          <w:rFonts w:ascii="宋体" w:cs="宋体"/>
          <w:bCs/>
        </w:rPr>
      </w:pPr>
      <w:r>
        <w:rPr>
          <w:rFonts w:hint="eastAsia" w:ascii="宋体" w:cs="宋体"/>
          <w:bCs/>
        </w:rPr>
        <w:t>5．我方在此声明，所递交的投标文件及有关资料内容完整、真实和准确。</w:t>
      </w:r>
    </w:p>
    <w:p>
      <w:pPr>
        <w:spacing w:line="400" w:lineRule="exact"/>
        <w:ind w:firstLine="420" w:firstLineChars="200"/>
        <w:rPr>
          <w:rFonts w:ascii="宋体" w:cs="宋体"/>
          <w:bCs/>
        </w:rPr>
      </w:pPr>
      <w:r>
        <w:rPr>
          <w:rFonts w:hint="eastAsia" w:ascii="宋体" w:cs="宋体"/>
          <w:bCs/>
        </w:rPr>
        <w:t xml:space="preserve">6. </w:t>
      </w:r>
      <w:r>
        <w:rPr>
          <w:rFonts w:hint="eastAsia" w:ascii="宋体" w:cs="宋体"/>
          <w:bCs/>
          <w:u w:val="single"/>
        </w:rPr>
        <w:t xml:space="preserve">                     </w:t>
      </w:r>
      <w:r>
        <w:rPr>
          <w:rFonts w:hint="eastAsia" w:ascii="宋体" w:cs="宋体"/>
          <w:bCs/>
        </w:rPr>
        <w:t>（其他补充说明）。</w:t>
      </w:r>
    </w:p>
    <w:p>
      <w:pPr>
        <w:spacing w:line="440" w:lineRule="exact"/>
        <w:ind w:firstLine="3381" w:firstLineChars="1610"/>
        <w:rPr>
          <w:rFonts w:ascii="宋体" w:cs="宋体"/>
          <w:bCs/>
        </w:rPr>
      </w:pPr>
    </w:p>
    <w:p>
      <w:pPr>
        <w:spacing w:line="440" w:lineRule="exact"/>
        <w:ind w:firstLine="3381" w:firstLineChars="1610"/>
        <w:rPr>
          <w:rFonts w:ascii="宋体" w:cs="宋体"/>
          <w:bCs/>
        </w:rPr>
      </w:pPr>
      <w:r>
        <w:rPr>
          <w:rFonts w:hint="eastAsia" w:ascii="宋体" w:cs="宋体"/>
          <w:bCs/>
        </w:rPr>
        <w:t>投标人：</w:t>
      </w:r>
      <w:r>
        <w:rPr>
          <w:rFonts w:hint="eastAsia" w:ascii="宋体" w:cs="宋体"/>
          <w:bCs/>
          <w:u w:val="single"/>
        </w:rPr>
        <w:t xml:space="preserve">                            </w:t>
      </w:r>
      <w:r>
        <w:rPr>
          <w:rFonts w:hint="eastAsia" w:ascii="宋体" w:cs="宋体"/>
          <w:bCs/>
        </w:rPr>
        <w:t>（盖单位章）</w:t>
      </w:r>
    </w:p>
    <w:p>
      <w:pPr>
        <w:spacing w:line="440" w:lineRule="exact"/>
        <w:ind w:firstLine="3381" w:firstLineChars="1610"/>
        <w:rPr>
          <w:rFonts w:ascii="宋体" w:cs="宋体"/>
          <w:bCs/>
        </w:rPr>
      </w:pPr>
      <w:r>
        <w:rPr>
          <w:rFonts w:hint="eastAsia" w:ascii="宋体" w:cs="宋体"/>
          <w:bCs/>
        </w:rPr>
        <w:t>法定代表人或其委托代理人：</w:t>
      </w:r>
      <w:r>
        <w:rPr>
          <w:rFonts w:hint="eastAsia" w:ascii="宋体" w:cs="宋体"/>
          <w:bCs/>
          <w:u w:val="single"/>
        </w:rPr>
        <w:t xml:space="preserve">         </w:t>
      </w:r>
      <w:r>
        <w:rPr>
          <w:rFonts w:hint="eastAsia" w:ascii="宋体" w:cs="宋体"/>
          <w:bCs/>
        </w:rPr>
        <w:t>（签字或盖章）</w:t>
      </w:r>
    </w:p>
    <w:p>
      <w:pPr>
        <w:spacing w:line="440" w:lineRule="exact"/>
        <w:ind w:firstLine="3381" w:firstLineChars="1610"/>
        <w:rPr>
          <w:rFonts w:ascii="宋体" w:cs="宋体"/>
          <w:bCs/>
        </w:rPr>
      </w:pPr>
      <w:r>
        <w:rPr>
          <w:rFonts w:hint="eastAsia" w:ascii="宋体" w:cs="宋体"/>
          <w:bCs/>
        </w:rPr>
        <w:t>地址：</w:t>
      </w:r>
      <w:r>
        <w:rPr>
          <w:rFonts w:hint="eastAsia" w:ascii="宋体" w:cs="宋体"/>
          <w:bCs/>
          <w:u w:val="single"/>
        </w:rPr>
        <w:t xml:space="preserve">                                 </w:t>
      </w:r>
    </w:p>
    <w:p>
      <w:pPr>
        <w:spacing w:line="440" w:lineRule="exact"/>
        <w:ind w:firstLine="3381" w:firstLineChars="1610"/>
        <w:rPr>
          <w:rFonts w:ascii="宋体" w:cs="宋体"/>
          <w:bCs/>
        </w:rPr>
      </w:pPr>
      <w:r>
        <w:rPr>
          <w:rFonts w:hint="eastAsia" w:ascii="宋体" w:cs="宋体"/>
          <w:bCs/>
        </w:rPr>
        <w:t>电话：</w:t>
      </w:r>
      <w:r>
        <w:rPr>
          <w:rFonts w:hint="eastAsia" w:ascii="宋体" w:cs="宋体"/>
          <w:bCs/>
          <w:u w:val="single"/>
        </w:rPr>
        <w:t xml:space="preserve">                                 </w:t>
      </w:r>
    </w:p>
    <w:p>
      <w:pPr>
        <w:spacing w:line="440" w:lineRule="exact"/>
        <w:ind w:firstLine="3381" w:firstLineChars="1610"/>
        <w:rPr>
          <w:rFonts w:ascii="宋体" w:cs="宋体"/>
          <w:bCs/>
        </w:rPr>
      </w:pPr>
      <w:r>
        <w:rPr>
          <w:rFonts w:hint="eastAsia" w:ascii="宋体" w:cs="宋体"/>
          <w:bCs/>
        </w:rPr>
        <w:t>传真：</w:t>
      </w:r>
      <w:r>
        <w:rPr>
          <w:rFonts w:hint="eastAsia" w:ascii="宋体" w:cs="宋体"/>
          <w:bCs/>
          <w:u w:val="single"/>
        </w:rPr>
        <w:t xml:space="preserve">                                 </w:t>
      </w:r>
    </w:p>
    <w:p>
      <w:pPr>
        <w:spacing w:line="440" w:lineRule="exact"/>
        <w:ind w:firstLine="3486" w:firstLineChars="1660"/>
        <w:rPr>
          <w:rFonts w:ascii="宋体" w:cs="宋体"/>
          <w:bCs/>
        </w:rPr>
      </w:pPr>
      <w:r>
        <w:rPr>
          <w:rFonts w:hint="eastAsia" w:ascii="宋体" w:cs="宋体"/>
          <w:bCs/>
          <w:u w:val="single"/>
        </w:rPr>
        <w:t xml:space="preserve">        </w:t>
      </w:r>
      <w:r>
        <w:rPr>
          <w:rFonts w:hint="eastAsia" w:ascii="宋体" w:cs="宋体"/>
          <w:bCs/>
        </w:rPr>
        <w:t>年</w:t>
      </w:r>
      <w:r>
        <w:rPr>
          <w:rFonts w:hint="eastAsia" w:ascii="宋体" w:cs="宋体"/>
          <w:bCs/>
          <w:u w:val="single"/>
        </w:rPr>
        <w:t xml:space="preserve">    </w:t>
      </w:r>
      <w:r>
        <w:rPr>
          <w:rFonts w:hint="eastAsia" w:ascii="宋体" w:cs="宋体"/>
          <w:bCs/>
        </w:rPr>
        <w:t>月</w:t>
      </w:r>
      <w:r>
        <w:rPr>
          <w:rFonts w:hint="eastAsia" w:ascii="宋体" w:cs="宋体"/>
          <w:bCs/>
          <w:u w:val="single"/>
        </w:rPr>
        <w:t xml:space="preserve">    </w:t>
      </w:r>
      <w:r>
        <w:rPr>
          <w:rFonts w:hint="eastAsia" w:ascii="宋体" w:cs="宋体"/>
          <w:bCs/>
        </w:rPr>
        <w:t>日</w:t>
      </w:r>
    </w:p>
    <w:p>
      <w:pPr>
        <w:spacing w:line="440" w:lineRule="exact"/>
        <w:ind w:firstLine="3486" w:firstLineChars="1660"/>
        <w:rPr>
          <w:rFonts w:ascii="宋体" w:cs="宋体"/>
          <w:bCs/>
        </w:rPr>
      </w:pPr>
    </w:p>
    <w:p>
      <w:pPr>
        <w:pStyle w:val="117"/>
        <w:rPr>
          <w:b/>
          <w:bCs/>
        </w:rPr>
      </w:pPr>
    </w:p>
    <w:p>
      <w:pPr>
        <w:pStyle w:val="117"/>
        <w:jc w:val="center"/>
        <w:rPr>
          <w:b/>
          <w:bCs/>
        </w:rPr>
        <w:sectPr>
          <w:footerReference r:id="rId5" w:type="first"/>
          <w:footerReference r:id="rId4" w:type="default"/>
          <w:pgSz w:w="11906" w:h="16838"/>
          <w:pgMar w:top="1440" w:right="1080" w:bottom="1440" w:left="1080" w:header="851" w:footer="851" w:gutter="0"/>
          <w:pgNumType w:start="1"/>
          <w:cols w:space="720" w:num="1"/>
          <w:titlePg/>
          <w:docGrid w:type="lines" w:linePitch="312" w:charSpace="0"/>
        </w:sectPr>
      </w:pPr>
    </w:p>
    <w:p>
      <w:pPr>
        <w:pStyle w:val="117"/>
        <w:rPr>
          <w:b/>
          <w:bCs/>
        </w:rPr>
      </w:pPr>
      <w:r>
        <w:rPr>
          <w:rFonts w:hint="eastAsia"/>
          <w:b/>
          <w:bCs/>
        </w:rPr>
        <w:t>附件1、投标人诚信承诺书</w:t>
      </w:r>
    </w:p>
    <w:p>
      <w:pPr>
        <w:pStyle w:val="117"/>
        <w:jc w:val="center"/>
        <w:rPr>
          <w:b/>
          <w:bCs/>
        </w:rPr>
      </w:pPr>
      <w:r>
        <w:rPr>
          <w:rFonts w:hint="eastAsia"/>
          <w:b/>
          <w:bCs/>
        </w:rPr>
        <w:t>投标人诚信承诺书</w:t>
      </w:r>
    </w:p>
    <w:p>
      <w:pPr>
        <w:pStyle w:val="117"/>
        <w:spacing w:line="360" w:lineRule="auto"/>
      </w:pPr>
      <w:r>
        <w:rPr>
          <w:rFonts w:hint="eastAsia"/>
        </w:rPr>
        <w:t>我单位在参加本次投标，郑重承诺如下：</w:t>
      </w:r>
    </w:p>
    <w:p>
      <w:pPr>
        <w:pStyle w:val="117"/>
        <w:spacing w:line="360" w:lineRule="auto"/>
      </w:pPr>
      <w:r>
        <w:rPr>
          <w:rFonts w:hint="eastAsia"/>
        </w:rPr>
        <w:t xml:space="preserve">   </w:t>
      </w:r>
      <w:r>
        <w:t xml:space="preserve">1. </w:t>
      </w:r>
      <w:r>
        <w:rPr>
          <w:rFonts w:hint="eastAsia"/>
        </w:rPr>
        <w:t>本次投标提供的所有资料都是真实有效、准确完整的，如发现提供虚假资料或与事实不符，同意取消投标和中标候选人资格。</w:t>
      </w:r>
    </w:p>
    <w:p>
      <w:pPr>
        <w:pStyle w:val="117"/>
        <w:spacing w:line="360" w:lineRule="auto"/>
      </w:pPr>
      <w:r>
        <w:rPr>
          <w:rFonts w:hint="eastAsia"/>
        </w:rPr>
        <w:t xml:space="preserve">   </w:t>
      </w:r>
      <w:r>
        <w:t>2</w:t>
      </w:r>
      <w:r>
        <w:rPr>
          <w:rFonts w:hint="eastAsia"/>
        </w:rPr>
        <w:t>．本次投标绝无资格借用、串标、围标情形，若经查证属实，同意取消投标和中标候选人资格并承担相应的法律责任。</w:t>
      </w:r>
    </w:p>
    <w:p>
      <w:pPr>
        <w:pStyle w:val="117"/>
        <w:spacing w:line="360" w:lineRule="auto"/>
      </w:pPr>
      <w:r>
        <w:rPr>
          <w:rFonts w:hint="eastAsia"/>
        </w:rPr>
        <w:t xml:space="preserve">   3．本次招标如我单位为中标候选人，除不可抗力外，决不因任何其它原因放弃中标候选人资格，否则承担相应法律责任。</w:t>
      </w:r>
    </w:p>
    <w:p>
      <w:pPr>
        <w:pStyle w:val="117"/>
        <w:spacing w:line="360" w:lineRule="auto"/>
      </w:pPr>
      <w:r>
        <w:rPr>
          <w:rFonts w:hint="eastAsia"/>
        </w:rPr>
        <w:t xml:space="preserve">   4、我单位中标后，严格按照招标文件和投标文件的约定进行签订合同，否则承担相应的责任。</w:t>
      </w:r>
    </w:p>
    <w:p>
      <w:pPr>
        <w:pStyle w:val="117"/>
        <w:spacing w:line="360" w:lineRule="auto"/>
        <w:rPr>
          <w:rFonts w:hint="eastAsia"/>
        </w:rPr>
      </w:pPr>
      <w:r>
        <w:rPr>
          <w:rFonts w:hint="eastAsia"/>
        </w:rPr>
        <w:t xml:space="preserve">   5、我单位若达不到招标公告投标人资格要求条件参与投标的，同意视为弄虚作假进行处理。</w:t>
      </w:r>
    </w:p>
    <w:p>
      <w:pPr>
        <w:pStyle w:val="117"/>
        <w:spacing w:line="360" w:lineRule="auto"/>
        <w:rPr>
          <w:rFonts w:hint="eastAsia" w:eastAsia="宋体"/>
          <w:lang w:val="en-US" w:eastAsia="zh-CN"/>
        </w:rPr>
      </w:pPr>
      <w:r>
        <w:rPr>
          <w:rFonts w:hint="eastAsia"/>
          <w:lang w:val="en-US" w:eastAsia="zh-CN"/>
        </w:rPr>
        <w:t xml:space="preserve">   6、我单位在参加本次投标活动前两年内，投标人及其高级管理人员在日常运营工作中未出现重大违规违法行为，在债券发行及交易等过程中未出现重大违约行为，近一年未出现监管降级或因涉嫌违法活动正在被有关监管机构进行调查的情形。在</w:t>
      </w:r>
      <w:r>
        <w:rPr>
          <w:rFonts w:hint="eastAsia" w:ascii="宋体" w:hAnsi="宋体" w:cs="宋体"/>
        </w:rPr>
        <w:t>债券承销及固定收益业务没有处于被有关监管机构责令整改、取消或暂停业务的状态；</w:t>
      </w:r>
      <w:r>
        <w:rPr>
          <w:rFonts w:hint="eastAsia" w:ascii="宋体" w:hAnsi="宋体" w:cs="宋体"/>
        </w:rPr>
        <w:br w:type="textWrapping"/>
      </w:r>
      <w:r>
        <w:rPr>
          <w:rFonts w:hint="eastAsia" w:cs="宋体"/>
          <w:lang w:val="en-US" w:eastAsia="zh-CN"/>
        </w:rPr>
        <w:t xml:space="preserve">   7、</w:t>
      </w:r>
      <w:r>
        <w:rPr>
          <w:rFonts w:hint="eastAsia" w:cs="宋体"/>
          <w:lang w:eastAsia="zh-CN"/>
        </w:rPr>
        <w:t>我单位</w:t>
      </w:r>
      <w:r>
        <w:rPr>
          <w:rFonts w:hint="eastAsia" w:ascii="宋体" w:hAnsi="宋体" w:cs="宋体"/>
        </w:rPr>
        <w:t>具有良好的资信和商业信誉,没有处于被责令停业、财产被接管、冻结、破产和重组状态；</w:t>
      </w:r>
    </w:p>
    <w:p>
      <w:pPr>
        <w:pStyle w:val="117"/>
        <w:spacing w:line="360" w:lineRule="auto"/>
        <w:ind w:firstLine="420"/>
      </w:pPr>
      <w:r>
        <w:rPr>
          <w:rFonts w:hint="eastAsia"/>
        </w:rPr>
        <w:t>出现上述情形之一的，我方同意一年内不参与阜阳市公共资源交易活动，愿意接受处罚并承担所有经济损失和法律责任。</w:t>
      </w:r>
    </w:p>
    <w:p>
      <w:pPr>
        <w:pStyle w:val="117"/>
        <w:spacing w:line="360" w:lineRule="auto"/>
        <w:ind w:right="55" w:firstLine="420"/>
      </w:pPr>
      <w:r>
        <w:rPr>
          <w:rFonts w:hint="eastAsia"/>
        </w:rPr>
        <w:t xml:space="preserve">                    投标人：</w:t>
      </w:r>
      <w:r>
        <w:rPr>
          <w:rFonts w:hint="eastAsia"/>
          <w:u w:val="single"/>
        </w:rPr>
        <w:t xml:space="preserve">                      </w:t>
      </w:r>
      <w:r>
        <w:rPr>
          <w:rFonts w:hint="eastAsia"/>
          <w:bCs/>
        </w:rPr>
        <w:t>（盖单位章）</w:t>
      </w:r>
    </w:p>
    <w:p>
      <w:pPr>
        <w:pStyle w:val="117"/>
        <w:spacing w:line="360" w:lineRule="auto"/>
        <w:ind w:right="420" w:firstLine="420"/>
        <w:jc w:val="center"/>
        <w:rPr>
          <w:bCs/>
        </w:rPr>
      </w:pPr>
      <w:r>
        <w:rPr>
          <w:rFonts w:hint="eastAsia"/>
        </w:rPr>
        <w:t xml:space="preserve">                  法定代表人或其委托代理人</w:t>
      </w:r>
      <w:r>
        <w:rPr>
          <w:rFonts w:hint="eastAsia"/>
          <w:u w:val="single"/>
        </w:rPr>
        <w:t xml:space="preserve">        </w:t>
      </w:r>
      <w:r>
        <w:rPr>
          <w:rFonts w:hint="eastAsia"/>
        </w:rPr>
        <w:t>（签字或盖章）</w:t>
      </w:r>
      <w:r>
        <w:rPr>
          <w:rFonts w:hint="eastAsia"/>
          <w:bCs/>
          <w:u w:val="single"/>
        </w:rPr>
        <w:t xml:space="preserve">        </w:t>
      </w:r>
      <w:r>
        <w:rPr>
          <w:rFonts w:hint="eastAsia"/>
          <w:bCs/>
        </w:rPr>
        <w:t xml:space="preserve">  年</w:t>
      </w:r>
      <w:r>
        <w:rPr>
          <w:rFonts w:hint="eastAsia"/>
          <w:bCs/>
          <w:u w:val="single"/>
        </w:rPr>
        <w:t xml:space="preserve">    </w:t>
      </w:r>
      <w:r>
        <w:rPr>
          <w:rFonts w:hint="eastAsia"/>
          <w:bCs/>
        </w:rPr>
        <w:t>月</w:t>
      </w:r>
      <w:r>
        <w:rPr>
          <w:rFonts w:hint="eastAsia"/>
          <w:bCs/>
          <w:u w:val="single"/>
        </w:rPr>
        <w:t xml:space="preserve">    </w:t>
      </w:r>
      <w:r>
        <w:rPr>
          <w:rFonts w:hint="eastAsia"/>
          <w:bCs/>
        </w:rPr>
        <w:t>日</w:t>
      </w:r>
    </w:p>
    <w:p>
      <w:pPr>
        <w:pStyle w:val="117"/>
        <w:jc w:val="both"/>
        <w:rPr>
          <w:color w:val="000000"/>
          <w:sz w:val="22"/>
          <w:szCs w:val="22"/>
          <w:highlight w:val="yellow"/>
        </w:rPr>
        <w:sectPr>
          <w:pgSz w:w="11906" w:h="16838"/>
          <w:pgMar w:top="1418" w:right="1134" w:bottom="1134" w:left="1361" w:header="851" w:footer="851" w:gutter="0"/>
          <w:cols w:space="720" w:num="1"/>
          <w:titlePg/>
          <w:docGrid w:type="lines" w:linePitch="312" w:charSpace="0"/>
        </w:sectPr>
      </w:pPr>
    </w:p>
    <w:p>
      <w:pPr>
        <w:rPr>
          <w:rFonts w:ascii="宋体" w:hAnsi="宋体"/>
          <w:b/>
          <w:sz w:val="36"/>
          <w:szCs w:val="36"/>
        </w:rPr>
      </w:pPr>
      <w:r>
        <w:rPr>
          <w:rFonts w:hint="eastAsia" w:ascii="宋体" w:hAnsi="宋体"/>
          <w:b/>
          <w:sz w:val="36"/>
          <w:szCs w:val="36"/>
        </w:rPr>
        <w:t>附件2、公司债券发行承销服务方案说明一览表</w:t>
      </w:r>
    </w:p>
    <w:p>
      <w:pPr>
        <w:jc w:val="center"/>
        <w:rPr>
          <w:rFonts w:ascii="宋体" w:hAnsi="宋体"/>
          <w:b/>
          <w:sz w:val="36"/>
          <w:szCs w:val="36"/>
        </w:rPr>
      </w:pPr>
      <w:r>
        <w:rPr>
          <w:rFonts w:hint="eastAsia" w:ascii="宋体" w:hAnsi="宋体"/>
          <w:b/>
          <w:sz w:val="36"/>
          <w:szCs w:val="36"/>
        </w:rPr>
        <w:t>公司债券发行承销服务方案说明一览表</w:t>
      </w:r>
    </w:p>
    <w:p>
      <w:pPr>
        <w:spacing w:line="360" w:lineRule="auto"/>
        <w:ind w:left="945" w:hanging="945"/>
        <w:rPr>
          <w:rFonts w:ascii="宋体" w:hAnsi="宋体"/>
          <w:sz w:val="24"/>
          <w:u w:val="single"/>
        </w:rPr>
      </w:pPr>
      <w:r>
        <w:rPr>
          <w:rFonts w:ascii="宋体" w:hAnsi="宋体"/>
          <w:sz w:val="24"/>
        </w:rPr>
        <w:t>投标人名称：</w:t>
      </w:r>
      <w:r>
        <w:rPr>
          <w:rFonts w:ascii="宋体" w:hAnsi="宋体"/>
          <w:sz w:val="24"/>
          <w:u w:val="single"/>
        </w:rPr>
        <w:t xml:space="preserve">                    </w:t>
      </w:r>
    </w:p>
    <w:tbl>
      <w:tblPr>
        <w:tblStyle w:val="46"/>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38"/>
        <w:gridCol w:w="1238"/>
        <w:gridCol w:w="1181"/>
        <w:gridCol w:w="963"/>
        <w:gridCol w:w="1400"/>
        <w:gridCol w:w="2273"/>
        <w:gridCol w:w="1547"/>
        <w:gridCol w:w="1496"/>
        <w:gridCol w:w="8"/>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2268" w:type="dxa"/>
            <w:vAlign w:val="center"/>
          </w:tcPr>
          <w:p>
            <w:pPr>
              <w:spacing w:line="360" w:lineRule="auto"/>
              <w:rPr>
                <w:rFonts w:ascii="宋体" w:hAnsi="宋体"/>
                <w:sz w:val="24"/>
              </w:rPr>
            </w:pPr>
            <w:r>
              <w:rPr>
                <w:rFonts w:ascii="宋体" w:hAnsi="宋体"/>
                <w:sz w:val="24"/>
              </w:rPr>
              <w:t>债券发行人名称</w:t>
            </w:r>
          </w:p>
        </w:tc>
        <w:tc>
          <w:tcPr>
            <w:tcW w:w="1276" w:type="dxa"/>
            <w:gridSpan w:val="2"/>
            <w:vAlign w:val="center"/>
          </w:tcPr>
          <w:p>
            <w:pPr>
              <w:spacing w:line="360" w:lineRule="auto"/>
              <w:jc w:val="center"/>
              <w:rPr>
                <w:rFonts w:ascii="宋体" w:hAnsi="宋体"/>
                <w:color w:val="FF0000"/>
                <w:sz w:val="24"/>
              </w:rPr>
            </w:pPr>
          </w:p>
        </w:tc>
        <w:tc>
          <w:tcPr>
            <w:tcW w:w="2144" w:type="dxa"/>
            <w:gridSpan w:val="2"/>
            <w:vAlign w:val="center"/>
          </w:tcPr>
          <w:p>
            <w:pPr>
              <w:spacing w:line="360" w:lineRule="auto"/>
              <w:rPr>
                <w:rFonts w:ascii="宋体" w:hAnsi="宋体"/>
                <w:color w:val="FF0000"/>
                <w:sz w:val="24"/>
              </w:rPr>
            </w:pPr>
            <w:r>
              <w:rPr>
                <w:rFonts w:ascii="宋体" w:hAnsi="宋体"/>
                <w:kern w:val="0"/>
                <w:sz w:val="24"/>
              </w:rPr>
              <w:t>发行规模(亿元)</w:t>
            </w:r>
          </w:p>
        </w:tc>
        <w:tc>
          <w:tcPr>
            <w:tcW w:w="1400" w:type="dxa"/>
            <w:vAlign w:val="center"/>
          </w:tcPr>
          <w:p>
            <w:pPr>
              <w:spacing w:line="360" w:lineRule="auto"/>
              <w:jc w:val="center"/>
              <w:rPr>
                <w:rFonts w:ascii="宋体" w:hAnsi="宋体"/>
                <w:color w:val="FF0000"/>
                <w:sz w:val="24"/>
              </w:rPr>
            </w:pPr>
          </w:p>
        </w:tc>
        <w:tc>
          <w:tcPr>
            <w:tcW w:w="2273" w:type="dxa"/>
            <w:vAlign w:val="center"/>
          </w:tcPr>
          <w:p>
            <w:pPr>
              <w:spacing w:line="360" w:lineRule="auto"/>
              <w:rPr>
                <w:rFonts w:ascii="宋体" w:hAnsi="宋体"/>
                <w:color w:val="FF0000"/>
                <w:sz w:val="24"/>
              </w:rPr>
            </w:pPr>
            <w:r>
              <w:rPr>
                <w:rFonts w:ascii="宋体" w:hAnsi="宋体"/>
                <w:kern w:val="0"/>
                <w:sz w:val="24"/>
              </w:rPr>
              <w:t>债券期限</w:t>
            </w:r>
          </w:p>
        </w:tc>
        <w:tc>
          <w:tcPr>
            <w:tcW w:w="1547" w:type="dxa"/>
            <w:vAlign w:val="center"/>
          </w:tcPr>
          <w:p>
            <w:pPr>
              <w:spacing w:line="360" w:lineRule="auto"/>
              <w:jc w:val="center"/>
              <w:rPr>
                <w:rFonts w:ascii="宋体" w:hAnsi="宋体"/>
                <w:color w:val="FF0000"/>
                <w:sz w:val="24"/>
              </w:rPr>
            </w:pPr>
          </w:p>
        </w:tc>
        <w:tc>
          <w:tcPr>
            <w:tcW w:w="1496" w:type="dxa"/>
            <w:vAlign w:val="center"/>
          </w:tcPr>
          <w:p>
            <w:pPr>
              <w:spacing w:line="360" w:lineRule="auto"/>
              <w:rPr>
                <w:rFonts w:ascii="宋体" w:hAnsi="宋体"/>
                <w:color w:val="FF0000"/>
                <w:sz w:val="24"/>
              </w:rPr>
            </w:pPr>
            <w:r>
              <w:rPr>
                <w:rFonts w:ascii="宋体" w:hAnsi="宋体"/>
                <w:kern w:val="0"/>
                <w:sz w:val="24"/>
              </w:rPr>
              <w:t>债券利率</w:t>
            </w:r>
            <w:r>
              <w:rPr>
                <w:rFonts w:hint="eastAsia" w:ascii="宋体" w:hAnsi="宋体"/>
                <w:kern w:val="0"/>
                <w:sz w:val="24"/>
              </w:rPr>
              <w:t>区间</w:t>
            </w:r>
          </w:p>
        </w:tc>
        <w:tc>
          <w:tcPr>
            <w:tcW w:w="1772" w:type="dxa"/>
            <w:gridSpan w:val="2"/>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2268" w:type="dxa"/>
            <w:vAlign w:val="center"/>
          </w:tcPr>
          <w:p>
            <w:pPr>
              <w:spacing w:line="360" w:lineRule="auto"/>
              <w:rPr>
                <w:rFonts w:ascii="宋体" w:hAnsi="宋体"/>
                <w:sz w:val="24"/>
              </w:rPr>
            </w:pPr>
            <w:r>
              <w:rPr>
                <w:rFonts w:ascii="宋体" w:hAnsi="宋体"/>
                <w:kern w:val="0"/>
                <w:sz w:val="24"/>
              </w:rPr>
              <w:t>债券形式</w:t>
            </w:r>
          </w:p>
        </w:tc>
        <w:tc>
          <w:tcPr>
            <w:tcW w:w="1276" w:type="dxa"/>
            <w:gridSpan w:val="2"/>
            <w:vAlign w:val="center"/>
          </w:tcPr>
          <w:p>
            <w:pPr>
              <w:spacing w:line="360" w:lineRule="auto"/>
              <w:jc w:val="center"/>
              <w:rPr>
                <w:rFonts w:ascii="宋体" w:hAnsi="宋体"/>
                <w:sz w:val="24"/>
              </w:rPr>
            </w:pPr>
          </w:p>
        </w:tc>
        <w:tc>
          <w:tcPr>
            <w:tcW w:w="2144" w:type="dxa"/>
            <w:gridSpan w:val="2"/>
            <w:vAlign w:val="center"/>
          </w:tcPr>
          <w:p>
            <w:pPr>
              <w:spacing w:line="360" w:lineRule="auto"/>
              <w:rPr>
                <w:rFonts w:ascii="宋体" w:hAnsi="宋体"/>
                <w:kern w:val="0"/>
                <w:sz w:val="24"/>
              </w:rPr>
            </w:pPr>
            <w:r>
              <w:rPr>
                <w:rFonts w:ascii="宋体" w:hAnsi="宋体"/>
                <w:kern w:val="0"/>
                <w:sz w:val="24"/>
              </w:rPr>
              <w:t>承销方式</w:t>
            </w:r>
          </w:p>
        </w:tc>
        <w:tc>
          <w:tcPr>
            <w:tcW w:w="1400" w:type="dxa"/>
            <w:vAlign w:val="center"/>
          </w:tcPr>
          <w:p>
            <w:pPr>
              <w:spacing w:line="360" w:lineRule="auto"/>
              <w:jc w:val="center"/>
              <w:rPr>
                <w:rFonts w:ascii="宋体" w:hAnsi="宋体"/>
                <w:kern w:val="0"/>
                <w:sz w:val="24"/>
              </w:rPr>
            </w:pPr>
          </w:p>
        </w:tc>
        <w:tc>
          <w:tcPr>
            <w:tcW w:w="2273" w:type="dxa"/>
            <w:vAlign w:val="center"/>
          </w:tcPr>
          <w:p>
            <w:pPr>
              <w:spacing w:line="360" w:lineRule="auto"/>
              <w:rPr>
                <w:rFonts w:ascii="宋体" w:hAnsi="宋体"/>
                <w:kern w:val="0"/>
                <w:sz w:val="24"/>
              </w:rPr>
            </w:pPr>
            <w:r>
              <w:rPr>
                <w:rFonts w:ascii="宋体" w:hAnsi="宋体"/>
                <w:kern w:val="0"/>
                <w:sz w:val="24"/>
              </w:rPr>
              <w:t>副主承销商</w:t>
            </w:r>
          </w:p>
        </w:tc>
        <w:tc>
          <w:tcPr>
            <w:tcW w:w="1547" w:type="dxa"/>
            <w:vAlign w:val="center"/>
          </w:tcPr>
          <w:p>
            <w:pPr>
              <w:spacing w:line="360" w:lineRule="auto"/>
              <w:jc w:val="center"/>
              <w:rPr>
                <w:rFonts w:ascii="宋体" w:hAnsi="宋体"/>
                <w:kern w:val="0"/>
                <w:sz w:val="24"/>
              </w:rPr>
            </w:pPr>
          </w:p>
        </w:tc>
        <w:tc>
          <w:tcPr>
            <w:tcW w:w="1496" w:type="dxa"/>
            <w:vAlign w:val="center"/>
          </w:tcPr>
          <w:p>
            <w:pPr>
              <w:spacing w:line="360" w:lineRule="auto"/>
              <w:rPr>
                <w:rFonts w:ascii="宋体" w:hAnsi="宋体"/>
                <w:kern w:val="0"/>
                <w:sz w:val="24"/>
              </w:rPr>
            </w:pPr>
            <w:r>
              <w:rPr>
                <w:rFonts w:ascii="宋体" w:hAnsi="宋体"/>
                <w:kern w:val="0"/>
                <w:sz w:val="24"/>
              </w:rPr>
              <w:t>承销团</w:t>
            </w:r>
          </w:p>
        </w:tc>
        <w:tc>
          <w:tcPr>
            <w:tcW w:w="1772" w:type="dxa"/>
            <w:gridSpan w:val="2"/>
            <w:vAlign w:val="center"/>
          </w:tcPr>
          <w:p>
            <w:pPr>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2306" w:type="dxa"/>
            <w:gridSpan w:val="2"/>
            <w:vAlign w:val="center"/>
          </w:tcPr>
          <w:p>
            <w:pPr>
              <w:spacing w:line="360" w:lineRule="auto"/>
              <w:rPr>
                <w:rFonts w:ascii="宋体" w:hAnsi="宋体"/>
                <w:kern w:val="0"/>
                <w:sz w:val="24"/>
              </w:rPr>
            </w:pPr>
            <w:r>
              <w:rPr>
                <w:rFonts w:ascii="宋体" w:hAnsi="宋体"/>
                <w:kern w:val="0"/>
                <w:sz w:val="24"/>
              </w:rPr>
              <w:t>发行方案报批期限（工作日）</w:t>
            </w:r>
          </w:p>
        </w:tc>
        <w:tc>
          <w:tcPr>
            <w:tcW w:w="2419" w:type="dxa"/>
            <w:gridSpan w:val="2"/>
            <w:vAlign w:val="center"/>
          </w:tcPr>
          <w:p>
            <w:pPr>
              <w:spacing w:line="360" w:lineRule="auto"/>
              <w:jc w:val="center"/>
              <w:rPr>
                <w:rFonts w:ascii="宋体" w:hAnsi="宋体"/>
                <w:kern w:val="0"/>
                <w:sz w:val="24"/>
              </w:rPr>
            </w:pPr>
          </w:p>
        </w:tc>
        <w:tc>
          <w:tcPr>
            <w:tcW w:w="2363" w:type="dxa"/>
            <w:gridSpan w:val="2"/>
            <w:vAlign w:val="center"/>
          </w:tcPr>
          <w:p>
            <w:pPr>
              <w:spacing w:line="360" w:lineRule="auto"/>
              <w:rPr>
                <w:rFonts w:ascii="宋体" w:hAnsi="宋体"/>
                <w:kern w:val="0"/>
                <w:sz w:val="24"/>
              </w:rPr>
            </w:pPr>
            <w:r>
              <w:rPr>
                <w:rFonts w:ascii="宋体" w:hAnsi="宋体"/>
                <w:kern w:val="0"/>
                <w:sz w:val="24"/>
              </w:rPr>
              <w:t>承销期限（工作日）</w:t>
            </w:r>
          </w:p>
        </w:tc>
        <w:tc>
          <w:tcPr>
            <w:tcW w:w="2273" w:type="dxa"/>
            <w:vAlign w:val="center"/>
          </w:tcPr>
          <w:p>
            <w:pPr>
              <w:spacing w:line="360" w:lineRule="auto"/>
              <w:jc w:val="center"/>
              <w:rPr>
                <w:rFonts w:ascii="宋体" w:hAnsi="宋体"/>
                <w:kern w:val="0"/>
                <w:sz w:val="24"/>
              </w:rPr>
            </w:pPr>
          </w:p>
        </w:tc>
        <w:tc>
          <w:tcPr>
            <w:tcW w:w="3051" w:type="dxa"/>
            <w:gridSpan w:val="3"/>
            <w:vAlign w:val="center"/>
          </w:tcPr>
          <w:p>
            <w:pPr>
              <w:spacing w:line="360" w:lineRule="auto"/>
              <w:rPr>
                <w:rFonts w:ascii="宋体" w:hAnsi="宋体"/>
                <w:kern w:val="0"/>
                <w:sz w:val="24"/>
              </w:rPr>
            </w:pPr>
            <w:r>
              <w:rPr>
                <w:rFonts w:ascii="宋体" w:hAnsi="宋体"/>
                <w:kern w:val="0"/>
                <w:sz w:val="24"/>
              </w:rPr>
              <w:t>证券营业网点（家）--可单独制表描述</w:t>
            </w:r>
          </w:p>
        </w:tc>
        <w:tc>
          <w:tcPr>
            <w:tcW w:w="1764" w:type="dxa"/>
            <w:vAlign w:val="center"/>
          </w:tcPr>
          <w:p>
            <w:pPr>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14176" w:type="dxa"/>
            <w:gridSpan w:val="11"/>
            <w:vAlign w:val="center"/>
          </w:tcPr>
          <w:p>
            <w:pPr>
              <w:spacing w:line="360" w:lineRule="auto"/>
              <w:jc w:val="center"/>
              <w:rPr>
                <w:rFonts w:ascii="宋体" w:hAnsi="宋体"/>
                <w:sz w:val="24"/>
              </w:rPr>
            </w:pPr>
            <w:r>
              <w:rPr>
                <w:rFonts w:ascii="宋体" w:hAnsi="宋体"/>
                <w:sz w:val="24"/>
              </w:rPr>
              <w:t>公司债券发行承销服务方案介绍</w:t>
            </w:r>
          </w:p>
          <w:p>
            <w:pPr>
              <w:spacing w:line="360" w:lineRule="auto"/>
              <w:rPr>
                <w:rFonts w:ascii="宋体" w:hAnsi="宋体"/>
                <w:kern w:val="0"/>
                <w:sz w:val="24"/>
              </w:rPr>
            </w:pPr>
            <w:r>
              <w:rPr>
                <w:rFonts w:ascii="宋体" w:hAnsi="宋体"/>
                <w:kern w:val="0"/>
                <w:sz w:val="24"/>
              </w:rPr>
              <w:t>投标人须在投标文件中提供详细的承销发行方案，并至少包含评标办法中涉及的评标因素，如（1）工作职责，（2）</w:t>
            </w:r>
            <w:r>
              <w:rPr>
                <w:rFonts w:hint="eastAsia" w:ascii="宋体" w:hAnsi="宋体"/>
                <w:kern w:val="0"/>
                <w:sz w:val="24"/>
              </w:rPr>
              <w:t>人员安排，</w:t>
            </w:r>
            <w:r>
              <w:rPr>
                <w:rFonts w:ascii="宋体" w:hAnsi="宋体"/>
                <w:kern w:val="0"/>
                <w:sz w:val="24"/>
              </w:rPr>
              <w:t>（3）工作安排，（</w:t>
            </w:r>
            <w:r>
              <w:rPr>
                <w:rFonts w:hint="eastAsia" w:ascii="宋体" w:hAnsi="宋体"/>
                <w:kern w:val="0"/>
                <w:sz w:val="24"/>
              </w:rPr>
              <w:t>4</w:t>
            </w:r>
            <w:r>
              <w:rPr>
                <w:rFonts w:ascii="宋体" w:hAnsi="宋体"/>
                <w:kern w:val="0"/>
                <w:sz w:val="24"/>
              </w:rPr>
              <w:t>）债券期限，（</w:t>
            </w:r>
            <w:r>
              <w:rPr>
                <w:rFonts w:hint="eastAsia" w:ascii="宋体" w:hAnsi="宋体"/>
                <w:kern w:val="0"/>
                <w:sz w:val="24"/>
              </w:rPr>
              <w:t>5</w:t>
            </w:r>
            <w:r>
              <w:rPr>
                <w:rFonts w:ascii="宋体" w:hAnsi="宋体"/>
                <w:kern w:val="0"/>
                <w:sz w:val="24"/>
              </w:rPr>
              <w:t>）发行方案报批期限，</w:t>
            </w:r>
            <w:r>
              <w:rPr>
                <w:rFonts w:hint="eastAsia" w:ascii="宋体" w:hAnsi="宋体"/>
                <w:kern w:val="0"/>
                <w:sz w:val="24"/>
              </w:rPr>
              <w:t>（6）承诺批复额度，</w:t>
            </w:r>
            <w:r>
              <w:rPr>
                <w:rFonts w:ascii="宋体" w:hAnsi="宋体"/>
                <w:kern w:val="0"/>
                <w:sz w:val="24"/>
              </w:rPr>
              <w:t>（</w:t>
            </w:r>
            <w:r>
              <w:rPr>
                <w:rFonts w:hint="eastAsia" w:ascii="宋体" w:hAnsi="宋体"/>
                <w:kern w:val="0"/>
                <w:sz w:val="24"/>
              </w:rPr>
              <w:t>7</w:t>
            </w:r>
            <w:r>
              <w:rPr>
                <w:rFonts w:ascii="宋体" w:hAnsi="宋体"/>
                <w:kern w:val="0"/>
                <w:sz w:val="24"/>
              </w:rPr>
              <w:t>）承销期限等</w:t>
            </w:r>
            <w:r>
              <w:rPr>
                <w:rFonts w:hint="eastAsia" w:ascii="宋体" w:hAnsi="宋体"/>
                <w:kern w:val="0"/>
                <w:sz w:val="24"/>
              </w:rPr>
              <w:t>，</w:t>
            </w:r>
            <w:r>
              <w:rPr>
                <w:rFonts w:hint="eastAsia" w:ascii="宋体" w:hAnsi="宋体"/>
                <w:sz w:val="24"/>
              </w:rPr>
              <w:t>（8）销售、推广能力，（9）创新能力，（10）根据项目特点，需要考虑的其他因素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trPr>
        <w:tc>
          <w:tcPr>
            <w:tcW w:w="14176" w:type="dxa"/>
            <w:gridSpan w:val="11"/>
            <w:vAlign w:val="center"/>
          </w:tcPr>
          <w:p>
            <w:pPr>
              <w:spacing w:line="360" w:lineRule="auto"/>
              <w:rPr>
                <w:rFonts w:ascii="宋体" w:hAnsi="宋体"/>
                <w:kern w:val="0"/>
                <w:sz w:val="24"/>
              </w:rPr>
            </w:pPr>
          </w:p>
          <w:p>
            <w:pPr>
              <w:spacing w:line="360" w:lineRule="auto"/>
              <w:rPr>
                <w:rFonts w:ascii="宋体" w:hAnsi="宋体"/>
                <w:kern w:val="0"/>
                <w:sz w:val="24"/>
              </w:rPr>
            </w:pPr>
          </w:p>
        </w:tc>
      </w:tr>
    </w:tbl>
    <w:p>
      <w:pPr>
        <w:spacing w:line="360" w:lineRule="auto"/>
        <w:ind w:left="945" w:hanging="945"/>
        <w:rPr>
          <w:rFonts w:ascii="宋体" w:hAnsi="宋体"/>
          <w:sz w:val="24"/>
        </w:rPr>
      </w:pPr>
      <w:r>
        <w:rPr>
          <w:rFonts w:hint="eastAsia" w:ascii="宋体" w:hAnsi="宋体"/>
          <w:sz w:val="24"/>
        </w:rPr>
        <w:t>投标人代表签字：</w:t>
      </w:r>
      <w:r>
        <w:rPr>
          <w:rFonts w:hint="eastAsia" w:ascii="宋体" w:hAnsi="宋体"/>
          <w:sz w:val="24"/>
          <w:u w:val="single"/>
        </w:rPr>
        <w:t xml:space="preserve">                       </w:t>
      </w:r>
    </w:p>
    <w:p>
      <w:pPr>
        <w:spacing w:line="360" w:lineRule="auto"/>
        <w:ind w:left="945" w:hanging="945"/>
        <w:rPr>
          <w:rFonts w:ascii="宋体" w:hAnsi="宋体"/>
          <w:sz w:val="24"/>
          <w:highlight w:val="red"/>
        </w:rPr>
      </w:pPr>
      <w:r>
        <w:rPr>
          <w:rFonts w:hint="eastAsia" w:ascii="宋体" w:hAnsi="宋体"/>
          <w:sz w:val="24"/>
        </w:rPr>
        <w:t>注：此表如不够使用，投标人可自行编辑使用。</w:t>
      </w:r>
    </w:p>
    <w:p>
      <w:pPr>
        <w:pStyle w:val="117"/>
        <w:jc w:val="both"/>
        <w:rPr>
          <w:color w:val="000000"/>
          <w:sz w:val="22"/>
          <w:szCs w:val="22"/>
          <w:highlight w:val="yellow"/>
        </w:rPr>
        <w:sectPr>
          <w:headerReference r:id="rId6" w:type="default"/>
          <w:footerReference r:id="rId7" w:type="default"/>
          <w:pgSz w:w="16838" w:h="11906" w:orient="landscape"/>
          <w:pgMar w:top="1361" w:right="1418" w:bottom="1134" w:left="1134" w:header="851" w:footer="851" w:gutter="0"/>
          <w:cols w:space="720" w:num="1"/>
          <w:titlePg/>
          <w:docGrid w:type="lines" w:linePitch="312" w:charSpace="0"/>
        </w:sectPr>
      </w:pPr>
    </w:p>
    <w:p>
      <w:pPr>
        <w:rPr>
          <w:rFonts w:ascii="宋体" w:hAnsi="宋体"/>
          <w:b/>
          <w:sz w:val="36"/>
          <w:szCs w:val="36"/>
        </w:rPr>
      </w:pPr>
      <w:r>
        <w:rPr>
          <w:rFonts w:hint="eastAsia" w:ascii="宋体" w:hAnsi="宋体"/>
          <w:b/>
          <w:sz w:val="36"/>
          <w:szCs w:val="36"/>
        </w:rPr>
        <w:t>附件3、公司债券发行承销服务范围表</w:t>
      </w:r>
    </w:p>
    <w:p>
      <w:pPr>
        <w:spacing w:line="360" w:lineRule="auto"/>
        <w:ind w:left="945" w:hanging="945"/>
        <w:jc w:val="center"/>
        <w:rPr>
          <w:rFonts w:ascii="宋体" w:hAnsi="宋体"/>
          <w:sz w:val="24"/>
        </w:rPr>
      </w:pPr>
      <w:r>
        <w:rPr>
          <w:rFonts w:hint="eastAsia" w:ascii="宋体" w:hAnsi="宋体"/>
          <w:b/>
          <w:sz w:val="36"/>
          <w:szCs w:val="36"/>
        </w:rPr>
        <w:t>公司债券发行承销服务范围表</w:t>
      </w:r>
    </w:p>
    <w:p>
      <w:pPr>
        <w:spacing w:line="360" w:lineRule="auto"/>
        <w:ind w:left="945" w:hanging="945"/>
        <w:rPr>
          <w:rFonts w:ascii="宋体" w:hAnsi="宋体"/>
          <w:sz w:val="24"/>
          <w:u w:val="single"/>
        </w:rPr>
      </w:pPr>
      <w:r>
        <w:rPr>
          <w:rFonts w:hint="eastAsia" w:ascii="宋体" w:hAnsi="宋体"/>
          <w:sz w:val="24"/>
        </w:rPr>
        <w:t>投标人名称：</w:t>
      </w:r>
      <w:r>
        <w:rPr>
          <w:rFonts w:hint="eastAsia" w:ascii="宋体" w:hAnsi="宋体"/>
          <w:sz w:val="24"/>
          <w:u w:val="single"/>
        </w:rPr>
        <w:t xml:space="preserve">                           </w:t>
      </w:r>
      <w:r>
        <w:rPr>
          <w:rFonts w:ascii="宋体" w:hAnsi="宋体"/>
          <w:sz w:val="24"/>
          <w:u w:val="single"/>
        </w:rPr>
        <w:tab/>
      </w:r>
    </w:p>
    <w:tbl>
      <w:tblPr>
        <w:tblStyle w:val="46"/>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014"/>
        <w:gridCol w:w="6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spacing w:line="360" w:lineRule="auto"/>
              <w:jc w:val="center"/>
              <w:rPr>
                <w:rFonts w:ascii="宋体" w:hAnsi="宋体"/>
                <w:b/>
                <w:sz w:val="24"/>
              </w:rPr>
            </w:pPr>
            <w:r>
              <w:rPr>
                <w:rFonts w:hint="eastAsia" w:ascii="宋体" w:hAnsi="宋体"/>
                <w:b/>
                <w:sz w:val="24"/>
              </w:rPr>
              <w:t>序号</w:t>
            </w:r>
          </w:p>
        </w:tc>
        <w:tc>
          <w:tcPr>
            <w:tcW w:w="2014" w:type="dxa"/>
            <w:vAlign w:val="center"/>
          </w:tcPr>
          <w:p>
            <w:pPr>
              <w:spacing w:line="360" w:lineRule="auto"/>
              <w:jc w:val="center"/>
              <w:rPr>
                <w:rFonts w:ascii="宋体" w:hAnsi="宋体"/>
                <w:b/>
                <w:sz w:val="24"/>
              </w:rPr>
            </w:pPr>
            <w:r>
              <w:rPr>
                <w:rFonts w:hint="eastAsia" w:ascii="宋体" w:hAnsi="宋体"/>
                <w:b/>
                <w:sz w:val="24"/>
              </w:rPr>
              <w:t>服务内容名称</w:t>
            </w:r>
          </w:p>
        </w:tc>
        <w:tc>
          <w:tcPr>
            <w:tcW w:w="6266" w:type="dxa"/>
            <w:vAlign w:val="center"/>
          </w:tcPr>
          <w:p>
            <w:pPr>
              <w:spacing w:line="360" w:lineRule="auto"/>
              <w:jc w:val="center"/>
              <w:rPr>
                <w:rFonts w:ascii="宋体" w:hAnsi="宋体"/>
                <w:b/>
                <w:sz w:val="24"/>
              </w:rPr>
            </w:pPr>
            <w:r>
              <w:rPr>
                <w:rFonts w:hint="eastAsia" w:ascii="宋体" w:hAnsi="宋体"/>
                <w:b/>
                <w:sz w:val="24"/>
              </w:rPr>
              <w:t>服务内容和范围介绍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line="360" w:lineRule="auto"/>
              <w:rPr>
                <w:rFonts w:ascii="宋体" w:hAnsi="宋体"/>
                <w:sz w:val="24"/>
              </w:rPr>
            </w:pPr>
          </w:p>
        </w:tc>
        <w:tc>
          <w:tcPr>
            <w:tcW w:w="2014" w:type="dxa"/>
          </w:tcPr>
          <w:p>
            <w:pPr>
              <w:spacing w:line="360" w:lineRule="auto"/>
              <w:rPr>
                <w:rFonts w:ascii="宋体" w:hAnsi="宋体"/>
                <w:sz w:val="24"/>
              </w:rPr>
            </w:pPr>
          </w:p>
        </w:tc>
        <w:tc>
          <w:tcPr>
            <w:tcW w:w="6266"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line="360" w:lineRule="auto"/>
              <w:rPr>
                <w:rFonts w:ascii="宋体" w:hAnsi="宋体"/>
                <w:sz w:val="24"/>
              </w:rPr>
            </w:pPr>
          </w:p>
        </w:tc>
        <w:tc>
          <w:tcPr>
            <w:tcW w:w="2014" w:type="dxa"/>
          </w:tcPr>
          <w:p>
            <w:pPr>
              <w:spacing w:line="360" w:lineRule="auto"/>
              <w:rPr>
                <w:rFonts w:ascii="宋体" w:hAnsi="宋体"/>
                <w:sz w:val="24"/>
              </w:rPr>
            </w:pPr>
          </w:p>
        </w:tc>
        <w:tc>
          <w:tcPr>
            <w:tcW w:w="6266"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line="360" w:lineRule="auto"/>
              <w:rPr>
                <w:rFonts w:ascii="宋体" w:hAnsi="宋体"/>
                <w:sz w:val="24"/>
              </w:rPr>
            </w:pPr>
          </w:p>
        </w:tc>
        <w:tc>
          <w:tcPr>
            <w:tcW w:w="2014" w:type="dxa"/>
          </w:tcPr>
          <w:p>
            <w:pPr>
              <w:spacing w:line="360" w:lineRule="auto"/>
              <w:rPr>
                <w:rFonts w:ascii="宋体" w:hAnsi="宋体"/>
                <w:sz w:val="24"/>
              </w:rPr>
            </w:pPr>
          </w:p>
        </w:tc>
        <w:tc>
          <w:tcPr>
            <w:tcW w:w="6266"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line="360" w:lineRule="auto"/>
              <w:rPr>
                <w:rFonts w:ascii="宋体" w:hAnsi="宋体"/>
                <w:sz w:val="24"/>
              </w:rPr>
            </w:pPr>
          </w:p>
        </w:tc>
        <w:tc>
          <w:tcPr>
            <w:tcW w:w="2014" w:type="dxa"/>
          </w:tcPr>
          <w:p>
            <w:pPr>
              <w:spacing w:line="360" w:lineRule="auto"/>
              <w:rPr>
                <w:rFonts w:ascii="宋体" w:hAnsi="宋体"/>
                <w:sz w:val="24"/>
              </w:rPr>
            </w:pPr>
          </w:p>
        </w:tc>
        <w:tc>
          <w:tcPr>
            <w:tcW w:w="6266"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line="360" w:lineRule="auto"/>
              <w:rPr>
                <w:rFonts w:ascii="宋体" w:hAnsi="宋体"/>
                <w:sz w:val="24"/>
              </w:rPr>
            </w:pPr>
          </w:p>
        </w:tc>
        <w:tc>
          <w:tcPr>
            <w:tcW w:w="2014" w:type="dxa"/>
          </w:tcPr>
          <w:p>
            <w:pPr>
              <w:spacing w:line="360" w:lineRule="auto"/>
              <w:rPr>
                <w:rFonts w:ascii="宋体" w:hAnsi="宋体"/>
                <w:sz w:val="24"/>
              </w:rPr>
            </w:pPr>
          </w:p>
        </w:tc>
        <w:tc>
          <w:tcPr>
            <w:tcW w:w="6266"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line="360" w:lineRule="auto"/>
              <w:rPr>
                <w:rFonts w:ascii="宋体" w:hAnsi="宋体"/>
                <w:sz w:val="24"/>
              </w:rPr>
            </w:pPr>
          </w:p>
        </w:tc>
        <w:tc>
          <w:tcPr>
            <w:tcW w:w="2014" w:type="dxa"/>
          </w:tcPr>
          <w:p>
            <w:pPr>
              <w:spacing w:line="360" w:lineRule="auto"/>
              <w:rPr>
                <w:rFonts w:ascii="宋体" w:hAnsi="宋体"/>
                <w:sz w:val="24"/>
              </w:rPr>
            </w:pPr>
          </w:p>
        </w:tc>
        <w:tc>
          <w:tcPr>
            <w:tcW w:w="6266"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line="360" w:lineRule="auto"/>
              <w:rPr>
                <w:rFonts w:ascii="宋体" w:hAnsi="宋体"/>
                <w:sz w:val="24"/>
              </w:rPr>
            </w:pPr>
          </w:p>
        </w:tc>
        <w:tc>
          <w:tcPr>
            <w:tcW w:w="2014" w:type="dxa"/>
          </w:tcPr>
          <w:p>
            <w:pPr>
              <w:spacing w:line="360" w:lineRule="auto"/>
              <w:rPr>
                <w:rFonts w:ascii="宋体" w:hAnsi="宋体"/>
                <w:sz w:val="24"/>
              </w:rPr>
            </w:pPr>
          </w:p>
        </w:tc>
        <w:tc>
          <w:tcPr>
            <w:tcW w:w="6266"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line="360" w:lineRule="auto"/>
              <w:rPr>
                <w:rFonts w:ascii="宋体" w:hAnsi="宋体"/>
                <w:sz w:val="24"/>
              </w:rPr>
            </w:pPr>
          </w:p>
        </w:tc>
        <w:tc>
          <w:tcPr>
            <w:tcW w:w="2014" w:type="dxa"/>
          </w:tcPr>
          <w:p>
            <w:pPr>
              <w:spacing w:line="360" w:lineRule="auto"/>
              <w:rPr>
                <w:rFonts w:ascii="宋体" w:hAnsi="宋体"/>
                <w:sz w:val="24"/>
              </w:rPr>
            </w:pPr>
          </w:p>
        </w:tc>
        <w:tc>
          <w:tcPr>
            <w:tcW w:w="6266"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line="360" w:lineRule="auto"/>
              <w:rPr>
                <w:rFonts w:ascii="宋体" w:hAnsi="宋体"/>
                <w:sz w:val="24"/>
              </w:rPr>
            </w:pPr>
          </w:p>
        </w:tc>
        <w:tc>
          <w:tcPr>
            <w:tcW w:w="2014" w:type="dxa"/>
          </w:tcPr>
          <w:p>
            <w:pPr>
              <w:spacing w:line="360" w:lineRule="auto"/>
              <w:rPr>
                <w:rFonts w:ascii="宋体" w:hAnsi="宋体"/>
                <w:sz w:val="24"/>
              </w:rPr>
            </w:pPr>
          </w:p>
        </w:tc>
        <w:tc>
          <w:tcPr>
            <w:tcW w:w="6266"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line="360" w:lineRule="auto"/>
              <w:rPr>
                <w:rFonts w:ascii="宋体" w:hAnsi="宋体"/>
                <w:sz w:val="24"/>
              </w:rPr>
            </w:pPr>
          </w:p>
        </w:tc>
        <w:tc>
          <w:tcPr>
            <w:tcW w:w="2014" w:type="dxa"/>
          </w:tcPr>
          <w:p>
            <w:pPr>
              <w:spacing w:line="360" w:lineRule="auto"/>
              <w:rPr>
                <w:rFonts w:ascii="宋体" w:hAnsi="宋体"/>
                <w:sz w:val="24"/>
              </w:rPr>
            </w:pPr>
          </w:p>
        </w:tc>
        <w:tc>
          <w:tcPr>
            <w:tcW w:w="6266"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line="360" w:lineRule="auto"/>
              <w:rPr>
                <w:rFonts w:ascii="宋体" w:hAnsi="宋体"/>
                <w:sz w:val="24"/>
              </w:rPr>
            </w:pPr>
          </w:p>
        </w:tc>
        <w:tc>
          <w:tcPr>
            <w:tcW w:w="2014" w:type="dxa"/>
          </w:tcPr>
          <w:p>
            <w:pPr>
              <w:spacing w:line="360" w:lineRule="auto"/>
              <w:rPr>
                <w:rFonts w:ascii="宋体" w:hAnsi="宋体"/>
                <w:sz w:val="24"/>
              </w:rPr>
            </w:pPr>
          </w:p>
        </w:tc>
        <w:tc>
          <w:tcPr>
            <w:tcW w:w="6266"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line="360" w:lineRule="auto"/>
              <w:rPr>
                <w:rFonts w:ascii="宋体" w:hAnsi="宋体"/>
                <w:sz w:val="24"/>
              </w:rPr>
            </w:pPr>
          </w:p>
        </w:tc>
        <w:tc>
          <w:tcPr>
            <w:tcW w:w="2014" w:type="dxa"/>
          </w:tcPr>
          <w:p>
            <w:pPr>
              <w:spacing w:line="360" w:lineRule="auto"/>
              <w:rPr>
                <w:rFonts w:ascii="宋体" w:hAnsi="宋体"/>
                <w:sz w:val="24"/>
              </w:rPr>
            </w:pPr>
          </w:p>
        </w:tc>
        <w:tc>
          <w:tcPr>
            <w:tcW w:w="6266"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line="360" w:lineRule="auto"/>
              <w:rPr>
                <w:rFonts w:ascii="宋体" w:hAnsi="宋体"/>
                <w:sz w:val="24"/>
              </w:rPr>
            </w:pPr>
          </w:p>
        </w:tc>
        <w:tc>
          <w:tcPr>
            <w:tcW w:w="2014" w:type="dxa"/>
          </w:tcPr>
          <w:p>
            <w:pPr>
              <w:spacing w:line="360" w:lineRule="auto"/>
              <w:rPr>
                <w:rFonts w:ascii="宋体" w:hAnsi="宋体"/>
                <w:sz w:val="24"/>
              </w:rPr>
            </w:pPr>
          </w:p>
        </w:tc>
        <w:tc>
          <w:tcPr>
            <w:tcW w:w="6266" w:type="dxa"/>
          </w:tcPr>
          <w:p>
            <w:pPr>
              <w:spacing w:line="360" w:lineRule="auto"/>
              <w:rPr>
                <w:rFonts w:ascii="宋体" w:hAnsi="宋体"/>
                <w:sz w:val="24"/>
              </w:rPr>
            </w:pPr>
          </w:p>
        </w:tc>
      </w:tr>
    </w:tbl>
    <w:p>
      <w:pPr>
        <w:spacing w:line="360" w:lineRule="auto"/>
        <w:ind w:left="945" w:hanging="945"/>
        <w:rPr>
          <w:rFonts w:ascii="宋体" w:hAnsi="宋体"/>
          <w:sz w:val="24"/>
        </w:rPr>
      </w:pPr>
    </w:p>
    <w:p>
      <w:pPr>
        <w:spacing w:line="360" w:lineRule="auto"/>
        <w:ind w:left="945" w:hanging="945"/>
        <w:rPr>
          <w:rFonts w:ascii="宋体" w:hAnsi="宋体"/>
          <w:sz w:val="24"/>
        </w:rPr>
      </w:pPr>
      <w:r>
        <w:rPr>
          <w:rFonts w:hint="eastAsia" w:ascii="宋体" w:hAnsi="宋体"/>
          <w:sz w:val="24"/>
        </w:rPr>
        <w:t>投标人代表签字：</w:t>
      </w:r>
      <w:r>
        <w:rPr>
          <w:rFonts w:hint="eastAsia" w:ascii="宋体" w:hAnsi="宋体"/>
          <w:sz w:val="24"/>
          <w:u w:val="single"/>
        </w:rPr>
        <w:t xml:space="preserve">                         </w:t>
      </w:r>
    </w:p>
    <w:p>
      <w:pPr>
        <w:spacing w:line="360" w:lineRule="auto"/>
        <w:ind w:left="945" w:hanging="945"/>
        <w:rPr>
          <w:rFonts w:ascii="宋体" w:hAnsi="宋体"/>
          <w:sz w:val="24"/>
        </w:rPr>
      </w:pPr>
    </w:p>
    <w:p>
      <w:pPr>
        <w:spacing w:line="360" w:lineRule="auto"/>
        <w:rPr>
          <w:rFonts w:ascii="宋体" w:hAnsi="宋体"/>
          <w:sz w:val="24"/>
        </w:rPr>
      </w:pPr>
      <w:r>
        <w:rPr>
          <w:rFonts w:hint="eastAsia" w:ascii="宋体" w:hAnsi="宋体"/>
          <w:sz w:val="24"/>
        </w:rPr>
        <w:t>注：</w:t>
      </w:r>
    </w:p>
    <w:p>
      <w:pPr>
        <w:spacing w:line="360" w:lineRule="auto"/>
        <w:ind w:left="2" w:firstLine="506" w:firstLineChars="211"/>
        <w:rPr>
          <w:rFonts w:ascii="宋体" w:hAnsi="宋体"/>
          <w:sz w:val="24"/>
        </w:rPr>
      </w:pPr>
      <w:r>
        <w:rPr>
          <w:rFonts w:hint="eastAsia" w:ascii="宋体" w:hAnsi="宋体"/>
          <w:sz w:val="24"/>
        </w:rPr>
        <w:t>此公司债券发行承销服务范围表系指投标人承担公司债券发行承销服务所有环节内容，如果投标人认为有必要，可以选择把投标人所承担的公司债券发行承销服务内容划分为若干子项内容进行米阿术描述。投标人如果认为没有必要，也可以不填写此表。</w:t>
      </w:r>
    </w:p>
    <w:p>
      <w:pPr>
        <w:spacing w:line="360" w:lineRule="auto"/>
        <w:ind w:firstLine="440" w:firstLineChars="200"/>
        <w:rPr>
          <w:rFonts w:ascii="宋体" w:hAnsi="宋体" w:cs="宋体"/>
          <w:color w:val="000000"/>
          <w:kern w:val="0"/>
          <w:sz w:val="22"/>
          <w:szCs w:val="22"/>
          <w:highlight w:val="yellow"/>
        </w:rPr>
      </w:pPr>
    </w:p>
    <w:p>
      <w:pPr>
        <w:spacing w:line="360" w:lineRule="auto"/>
        <w:ind w:firstLine="440" w:firstLineChars="200"/>
        <w:rPr>
          <w:rFonts w:ascii="宋体" w:hAnsi="宋体" w:cs="宋体"/>
          <w:color w:val="000000"/>
          <w:kern w:val="0"/>
          <w:sz w:val="22"/>
          <w:szCs w:val="22"/>
          <w:highlight w:val="yellow"/>
        </w:rPr>
      </w:pPr>
    </w:p>
    <w:p>
      <w:pPr>
        <w:spacing w:line="360" w:lineRule="auto"/>
        <w:ind w:firstLine="440" w:firstLineChars="200"/>
        <w:rPr>
          <w:rFonts w:ascii="宋体" w:hAnsi="宋体" w:cs="宋体"/>
          <w:color w:val="000000"/>
          <w:kern w:val="0"/>
          <w:sz w:val="22"/>
          <w:szCs w:val="22"/>
          <w:highlight w:val="yellow"/>
        </w:rPr>
      </w:pPr>
    </w:p>
    <w:p>
      <w:pPr>
        <w:spacing w:line="360" w:lineRule="auto"/>
        <w:ind w:firstLine="440" w:firstLineChars="200"/>
        <w:rPr>
          <w:rFonts w:ascii="宋体" w:hAnsi="宋体" w:cs="宋体"/>
          <w:color w:val="000000"/>
          <w:kern w:val="0"/>
          <w:sz w:val="22"/>
          <w:szCs w:val="22"/>
          <w:highlight w:val="yellow"/>
        </w:rPr>
      </w:pPr>
    </w:p>
    <w:p>
      <w:pPr>
        <w:spacing w:line="360" w:lineRule="auto"/>
        <w:rPr>
          <w:rFonts w:ascii="宋体" w:hAnsi="宋体" w:cs="宋体"/>
          <w:color w:val="000000"/>
          <w:kern w:val="0"/>
          <w:sz w:val="22"/>
          <w:szCs w:val="22"/>
          <w:highlight w:val="yellow"/>
        </w:rPr>
      </w:pPr>
    </w:p>
    <w:p>
      <w:pPr>
        <w:pStyle w:val="117"/>
        <w:jc w:val="center"/>
        <w:rPr>
          <w:b/>
          <w:bCs/>
        </w:rPr>
      </w:pPr>
      <w:r>
        <w:rPr>
          <w:rFonts w:hint="eastAsia"/>
          <w:b/>
          <w:bCs/>
        </w:rPr>
        <w:t>2. 法定代表人身份证明</w:t>
      </w:r>
    </w:p>
    <w:p>
      <w:pPr>
        <w:spacing w:line="300" w:lineRule="auto"/>
      </w:pPr>
    </w:p>
    <w:p>
      <w:pPr>
        <w:spacing w:line="480" w:lineRule="auto"/>
        <w:ind w:firstLine="480" w:firstLineChars="200"/>
        <w:rPr>
          <w:rFonts w:ascii="宋体" w:hAnsi="宋体"/>
          <w:sz w:val="24"/>
        </w:rPr>
      </w:pPr>
      <w:r>
        <w:rPr>
          <w:rFonts w:hint="eastAsia" w:ascii="宋体" w:hAnsi="宋体"/>
          <w:sz w:val="24"/>
        </w:rPr>
        <w:t>投标人名称：</w:t>
      </w:r>
      <w:r>
        <w:rPr>
          <w:rFonts w:hint="eastAsia" w:ascii="宋体" w:hAnsi="宋体"/>
          <w:sz w:val="24"/>
          <w:u w:val="single"/>
        </w:rPr>
        <w:t xml:space="preserve">                                </w:t>
      </w:r>
      <w:r>
        <w:rPr>
          <w:rFonts w:hint="eastAsia" w:ascii="宋体" w:hAnsi="宋体"/>
          <w:sz w:val="24"/>
        </w:rPr>
        <w:t xml:space="preserve"> </w:t>
      </w:r>
    </w:p>
    <w:p>
      <w:pPr>
        <w:spacing w:line="480" w:lineRule="auto"/>
        <w:ind w:firstLine="480" w:firstLineChars="200"/>
        <w:rPr>
          <w:rFonts w:ascii="宋体" w:hAnsi="宋体"/>
          <w:sz w:val="24"/>
        </w:rPr>
      </w:pPr>
      <w:r>
        <w:rPr>
          <w:rFonts w:hint="eastAsia" w:ascii="宋体" w:hAnsi="宋体"/>
          <w:sz w:val="24"/>
        </w:rPr>
        <w:t>单位性质：</w:t>
      </w:r>
      <w:r>
        <w:rPr>
          <w:rFonts w:hint="eastAsia" w:ascii="宋体" w:hAnsi="宋体"/>
          <w:sz w:val="24"/>
          <w:u w:val="single"/>
        </w:rPr>
        <w:t xml:space="preserve">                                  </w:t>
      </w:r>
      <w:r>
        <w:rPr>
          <w:rFonts w:hint="eastAsia" w:ascii="宋体" w:hAnsi="宋体"/>
          <w:sz w:val="24"/>
        </w:rPr>
        <w:t xml:space="preserve"> </w:t>
      </w:r>
    </w:p>
    <w:p>
      <w:pPr>
        <w:spacing w:line="480" w:lineRule="auto"/>
        <w:ind w:firstLine="480" w:firstLineChars="200"/>
        <w:rPr>
          <w:rFonts w:ascii="宋体" w:hAnsi="宋体"/>
          <w:sz w:val="24"/>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 xml:space="preserve"> </w:t>
      </w:r>
    </w:p>
    <w:p>
      <w:pPr>
        <w:spacing w:line="480" w:lineRule="auto"/>
        <w:ind w:firstLine="480" w:firstLineChars="200"/>
        <w:rPr>
          <w:rFonts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480" w:lineRule="auto"/>
        <w:ind w:firstLine="480" w:firstLineChars="200"/>
        <w:rPr>
          <w:rFonts w:ascii="宋体" w:hAnsi="宋体"/>
          <w:sz w:val="24"/>
        </w:rPr>
      </w:pPr>
      <w:r>
        <w:rPr>
          <w:rFonts w:hint="eastAsia" w:ascii="宋体" w:hAnsi="宋体"/>
          <w:sz w:val="24"/>
        </w:rPr>
        <w:t>经营范围：</w:t>
      </w:r>
      <w:r>
        <w:rPr>
          <w:rFonts w:hint="eastAsia" w:ascii="宋体" w:hAnsi="宋体"/>
          <w:sz w:val="24"/>
          <w:u w:val="single"/>
        </w:rPr>
        <w:t xml:space="preserve">                                </w:t>
      </w:r>
      <w:r>
        <w:rPr>
          <w:rFonts w:hint="eastAsia" w:ascii="宋体" w:hAnsi="宋体"/>
          <w:sz w:val="24"/>
        </w:rPr>
        <w:t xml:space="preserve"> </w:t>
      </w:r>
    </w:p>
    <w:p>
      <w:pPr>
        <w:spacing w:line="480" w:lineRule="auto"/>
        <w:ind w:firstLine="480" w:firstLineChars="200"/>
        <w:rPr>
          <w:rFonts w:ascii="宋体" w:hAnsi="宋体"/>
          <w:sz w:val="24"/>
        </w:rPr>
      </w:pPr>
      <w:r>
        <w:rPr>
          <w:rFonts w:hint="eastAsia" w:ascii="宋体" w:hAnsi="宋体"/>
          <w:sz w:val="24"/>
        </w:rPr>
        <w:t>姓名：</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hint="eastAsia" w:ascii="宋体" w:hAnsi="宋体"/>
          <w:sz w:val="24"/>
        </w:rPr>
        <w:t>_</w:t>
      </w:r>
    </w:p>
    <w:p>
      <w:pPr>
        <w:spacing w:line="480" w:lineRule="auto"/>
        <w:ind w:firstLine="480" w:firstLineChars="200"/>
        <w:rPr>
          <w:rFonts w:ascii="宋体" w:hAnsi="宋体"/>
          <w:sz w:val="24"/>
        </w:rPr>
      </w:pPr>
      <w:r>
        <w:rPr>
          <w:rFonts w:hint="eastAsia" w:ascii="宋体" w:hAnsi="宋体"/>
          <w:sz w:val="24"/>
        </w:rPr>
        <w:t>系</w:t>
      </w:r>
      <w:r>
        <w:rPr>
          <w:rFonts w:hint="eastAsia" w:ascii="宋体" w:hAnsi="宋体"/>
          <w:sz w:val="24"/>
          <w:u w:val="single"/>
        </w:rPr>
        <w:t xml:space="preserve">                                </w:t>
      </w:r>
      <w:r>
        <w:rPr>
          <w:rFonts w:hint="eastAsia" w:ascii="宋体" w:hAnsi="宋体"/>
          <w:sz w:val="24"/>
        </w:rPr>
        <w:t>（投标人名称）的法定代表人。</w:t>
      </w:r>
    </w:p>
    <w:p>
      <w:pPr>
        <w:spacing w:line="480" w:lineRule="auto"/>
        <w:ind w:firstLine="960" w:firstLineChars="400"/>
        <w:rPr>
          <w:rFonts w:ascii="宋体" w:hAnsi="宋体"/>
          <w:sz w:val="24"/>
        </w:rPr>
      </w:pPr>
      <w:r>
        <w:rPr>
          <w:rFonts w:hint="eastAsia" w:ascii="宋体" w:hAnsi="宋体"/>
          <w:sz w:val="24"/>
        </w:rPr>
        <w:t>特此证明。</w:t>
      </w:r>
    </w:p>
    <w:p>
      <w:pPr>
        <w:spacing w:line="300" w:lineRule="auto"/>
        <w:rPr>
          <w:rFonts w:ascii="宋体" w:hAnsi="宋体"/>
          <w:b/>
          <w:sz w:val="26"/>
          <w:u w:val="thick"/>
        </w:rPr>
      </w:pPr>
      <w:r>
        <w:rPr>
          <w:rFonts w:hint="eastAsia" w:ascii="宋体" w:hAnsi="宋体"/>
          <w:b/>
          <w:sz w:val="26"/>
        </w:rPr>
        <w:t xml:space="preserve">   </w:t>
      </w:r>
    </w:p>
    <w:p>
      <w:pPr>
        <w:spacing w:line="300" w:lineRule="auto"/>
        <w:rPr>
          <w:rFonts w:ascii="宋体" w:hAnsi="宋体"/>
          <w:sz w:val="24"/>
        </w:rPr>
      </w:pPr>
    </w:p>
    <w:p>
      <w:pPr>
        <w:spacing w:line="300" w:lineRule="auto"/>
        <w:rPr>
          <w:rFonts w:ascii="宋体" w:hAnsi="宋体"/>
          <w:sz w:val="24"/>
        </w:rPr>
      </w:pPr>
    </w:p>
    <w:p>
      <w:pPr>
        <w:spacing w:line="300" w:lineRule="auto"/>
        <w:rPr>
          <w:rFonts w:ascii="宋体" w:hAnsi="宋体"/>
          <w:sz w:val="24"/>
        </w:rPr>
      </w:pPr>
    </w:p>
    <w:p>
      <w:pPr>
        <w:spacing w:line="300" w:lineRule="auto"/>
        <w:ind w:firstLine="480" w:firstLineChars="200"/>
        <w:rPr>
          <w:rFonts w:ascii="宋体" w:hAnsi="宋体"/>
          <w:sz w:val="24"/>
        </w:rPr>
      </w:pPr>
    </w:p>
    <w:p>
      <w:pPr>
        <w:spacing w:line="300" w:lineRule="auto"/>
        <w:ind w:firstLine="4200" w:firstLineChars="1750"/>
        <w:rPr>
          <w:rFonts w:ascii="宋体" w:hAnsi="宋体"/>
          <w:sz w:val="24"/>
        </w:rPr>
      </w:pPr>
      <w:r>
        <w:rPr>
          <w:rFonts w:hint="eastAsia" w:ascii="宋体" w:hAnsi="宋体"/>
          <w:sz w:val="24"/>
        </w:rPr>
        <w:t>投标人：</w:t>
      </w:r>
      <w:r>
        <w:rPr>
          <w:rFonts w:hint="eastAsia" w:ascii="宋体" w:hAnsi="宋体"/>
          <w:sz w:val="24"/>
          <w:u w:val="single"/>
        </w:rPr>
        <w:t xml:space="preserve">                      </w:t>
      </w:r>
      <w:r>
        <w:rPr>
          <w:rFonts w:hint="eastAsia" w:ascii="宋体" w:hAnsi="宋体"/>
          <w:sz w:val="24"/>
        </w:rPr>
        <w:t>（盖单位章）</w:t>
      </w:r>
    </w:p>
    <w:p>
      <w:pPr>
        <w:spacing w:line="300" w:lineRule="auto"/>
        <w:ind w:firstLine="5160" w:firstLineChars="2150"/>
        <w:rPr>
          <w:rFonts w:ascii="宋体" w:hAnsi="宋体"/>
          <w:sz w:val="24"/>
          <w:u w:val="single"/>
        </w:rPr>
      </w:pPr>
    </w:p>
    <w:p>
      <w:pPr>
        <w:spacing w:line="300" w:lineRule="auto"/>
        <w:ind w:firstLine="5160" w:firstLineChars="2150"/>
        <w:rPr>
          <w:rFonts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00" w:lineRule="auto"/>
        <w:ind w:firstLine="5160" w:firstLineChars="2150"/>
        <w:rPr>
          <w:rFonts w:ascii="宋体" w:hAnsi="宋体"/>
          <w:sz w:val="24"/>
        </w:rPr>
      </w:pPr>
    </w:p>
    <w:p>
      <w:pPr>
        <w:spacing w:line="300" w:lineRule="auto"/>
        <w:ind w:firstLine="5160" w:firstLineChars="2150"/>
        <w:rPr>
          <w:rFonts w:ascii="宋体" w:hAnsi="宋体"/>
          <w:sz w:val="24"/>
        </w:rPr>
      </w:pPr>
    </w:p>
    <w:p>
      <w:pPr>
        <w:spacing w:line="300" w:lineRule="auto"/>
        <w:ind w:firstLine="5160" w:firstLineChars="2150"/>
        <w:rPr>
          <w:rFonts w:ascii="宋体" w:hAnsi="宋体"/>
          <w:sz w:val="24"/>
        </w:rPr>
      </w:pPr>
    </w:p>
    <w:p>
      <w:pPr>
        <w:spacing w:line="300" w:lineRule="auto"/>
        <w:ind w:firstLine="5160" w:firstLineChars="2150"/>
        <w:rPr>
          <w:rFonts w:ascii="宋体" w:hAnsi="宋体"/>
          <w:sz w:val="24"/>
        </w:rPr>
      </w:pPr>
    </w:p>
    <w:p>
      <w:pPr>
        <w:spacing w:line="300" w:lineRule="auto"/>
        <w:ind w:firstLine="5160" w:firstLineChars="2150"/>
        <w:rPr>
          <w:rFonts w:ascii="宋体" w:hAnsi="宋体"/>
          <w:sz w:val="24"/>
        </w:rPr>
      </w:pPr>
    </w:p>
    <w:p>
      <w:pPr>
        <w:spacing w:line="300" w:lineRule="auto"/>
        <w:ind w:firstLine="5160" w:firstLineChars="2150"/>
        <w:rPr>
          <w:rFonts w:ascii="宋体" w:hAnsi="宋体"/>
          <w:sz w:val="24"/>
        </w:rPr>
      </w:pPr>
    </w:p>
    <w:p>
      <w:pPr>
        <w:spacing w:line="300" w:lineRule="auto"/>
        <w:ind w:firstLine="5160" w:firstLineChars="2150"/>
        <w:rPr>
          <w:rFonts w:ascii="宋体" w:hAnsi="宋体"/>
          <w:sz w:val="24"/>
        </w:rPr>
      </w:pPr>
    </w:p>
    <w:p>
      <w:pPr>
        <w:spacing w:line="300" w:lineRule="auto"/>
        <w:ind w:firstLine="5160" w:firstLineChars="2150"/>
        <w:rPr>
          <w:rFonts w:ascii="宋体" w:hAnsi="宋体"/>
          <w:sz w:val="24"/>
        </w:rPr>
      </w:pPr>
    </w:p>
    <w:p>
      <w:pPr>
        <w:spacing w:line="300" w:lineRule="auto"/>
        <w:ind w:firstLine="5160" w:firstLineChars="2150"/>
        <w:rPr>
          <w:rFonts w:ascii="宋体" w:hAnsi="宋体"/>
          <w:sz w:val="24"/>
        </w:rPr>
      </w:pPr>
    </w:p>
    <w:p>
      <w:pPr>
        <w:spacing w:line="300" w:lineRule="auto"/>
        <w:ind w:firstLine="5160" w:firstLineChars="2150"/>
        <w:rPr>
          <w:rFonts w:ascii="宋体" w:hAnsi="宋体"/>
          <w:sz w:val="24"/>
        </w:rPr>
      </w:pPr>
    </w:p>
    <w:p>
      <w:pPr>
        <w:pStyle w:val="5"/>
        <w:ind w:firstLine="0"/>
      </w:pPr>
    </w:p>
    <w:p>
      <w:pPr>
        <w:pStyle w:val="117"/>
        <w:jc w:val="center"/>
        <w:rPr>
          <w:b/>
          <w:bCs/>
        </w:rPr>
      </w:pPr>
      <w:r>
        <w:rPr>
          <w:rFonts w:hint="eastAsia"/>
          <w:b/>
          <w:bCs/>
        </w:rPr>
        <w:t>3、授权委托书</w:t>
      </w:r>
    </w:p>
    <w:p>
      <w:pPr>
        <w:spacing w:line="360" w:lineRule="auto"/>
        <w:ind w:firstLine="422" w:firstLineChars="200"/>
        <w:rPr>
          <w:rFonts w:ascii="宋体" w:cs="宋体"/>
          <w:b/>
        </w:rPr>
      </w:pPr>
    </w:p>
    <w:p>
      <w:pPr>
        <w:spacing w:line="360" w:lineRule="auto"/>
        <w:ind w:firstLine="420" w:firstLineChars="200"/>
        <w:rPr>
          <w:rFonts w:ascii="宋体" w:cs="宋体"/>
          <w:bCs/>
        </w:rPr>
      </w:pPr>
      <w:r>
        <w:rPr>
          <w:rFonts w:hint="eastAsia" w:ascii="宋体" w:cs="宋体"/>
          <w:bCs/>
        </w:rPr>
        <w:t>本人</w:t>
      </w:r>
      <w:r>
        <w:rPr>
          <w:rFonts w:hint="eastAsia" w:ascii="宋体" w:cs="宋体"/>
          <w:bCs/>
          <w:u w:val="single"/>
        </w:rPr>
        <w:t xml:space="preserve">      </w:t>
      </w:r>
      <w:r>
        <w:rPr>
          <w:rFonts w:hint="eastAsia" w:ascii="宋体" w:cs="宋体"/>
          <w:bCs/>
        </w:rPr>
        <w:t>（姓名）系</w:t>
      </w:r>
      <w:r>
        <w:rPr>
          <w:rFonts w:hint="eastAsia" w:ascii="宋体" w:cs="宋体"/>
          <w:bCs/>
          <w:u w:val="single"/>
        </w:rPr>
        <w:t xml:space="preserve">                </w:t>
      </w:r>
      <w:r>
        <w:rPr>
          <w:rFonts w:hint="eastAsia" w:ascii="宋体" w:cs="宋体"/>
          <w:bCs/>
        </w:rPr>
        <w:t>（投标人名称）的法定代表人，现委托</w:t>
      </w:r>
      <w:r>
        <w:rPr>
          <w:rFonts w:hint="eastAsia" w:ascii="宋体" w:cs="宋体"/>
          <w:bCs/>
          <w:u w:val="single"/>
        </w:rPr>
        <w:t xml:space="preserve">       </w:t>
      </w:r>
      <w:r>
        <w:rPr>
          <w:rFonts w:hint="eastAsia" w:ascii="宋体" w:cs="宋体"/>
          <w:bCs/>
        </w:rPr>
        <w:t>（姓名）为我方代理人。代理人根据授权，以我方名义签署、澄清、说明、补正、递交、撤回、修改</w:t>
      </w:r>
      <w:r>
        <w:rPr>
          <w:rFonts w:hint="eastAsia" w:ascii="宋体" w:cs="宋体"/>
          <w:bCs/>
          <w:u w:val="single"/>
        </w:rPr>
        <w:t xml:space="preserve">       </w:t>
      </w:r>
      <w:r>
        <w:rPr>
          <w:rFonts w:hint="eastAsia" w:ascii="宋体" w:cs="宋体"/>
          <w:bCs/>
        </w:rPr>
        <w:t>（项目名称）</w:t>
      </w:r>
      <w:r>
        <w:rPr>
          <w:rFonts w:hint="eastAsia" w:ascii="宋体" w:cs="宋体"/>
          <w:bCs/>
          <w:u w:val="single"/>
        </w:rPr>
        <w:t xml:space="preserve">          </w:t>
      </w:r>
      <w:r>
        <w:rPr>
          <w:rFonts w:hint="eastAsia" w:ascii="宋体" w:cs="宋体"/>
          <w:bCs/>
        </w:rPr>
        <w:t>投标文件和处理有关事宜，其法律后果由我方承担。</w:t>
      </w:r>
    </w:p>
    <w:p>
      <w:pPr>
        <w:spacing w:line="360" w:lineRule="auto"/>
        <w:ind w:firstLine="420" w:firstLineChars="200"/>
        <w:rPr>
          <w:rFonts w:ascii="宋体" w:cs="宋体"/>
          <w:bCs/>
        </w:rPr>
      </w:pPr>
      <w:r>
        <w:rPr>
          <w:rFonts w:hint="eastAsia" w:ascii="宋体" w:cs="宋体"/>
          <w:bCs/>
        </w:rPr>
        <w:t>委托期限：</w:t>
      </w:r>
      <w:r>
        <w:rPr>
          <w:rFonts w:hint="eastAsia" w:ascii="宋体" w:cs="宋体"/>
          <w:bCs/>
          <w:u w:val="single"/>
        </w:rPr>
        <w:t xml:space="preserve">                                </w:t>
      </w:r>
    </w:p>
    <w:p>
      <w:pPr>
        <w:spacing w:line="360" w:lineRule="auto"/>
        <w:ind w:firstLine="420" w:firstLineChars="200"/>
        <w:rPr>
          <w:rFonts w:ascii="宋体" w:cs="宋体"/>
          <w:bCs/>
        </w:rPr>
      </w:pPr>
      <w:r>
        <w:pict>
          <v:shape id="_x0000_s1027" o:spid="_x0000_s1027" o:spt="202" type="#_x0000_t202" style="position:absolute;left:0pt;margin-left:86.5pt;margin-top:22.05pt;height:135.55pt;width:266.85pt;z-index:251658240;mso-width-relative:page;mso-height-relative:page;" filled="t" stroked="t" coordsize="21600,21600">
            <v:path/>
            <v:fill type="gradient" on="t" angle="90" focussize="0f,0f">
              <o:fill type="gradientUnscaled" v:ext="backwardCompatible"/>
            </v:fill>
            <v:stroke weight="1.25pt" color="#739CC3" joinstyle="miter"/>
            <v:imagedata o:title=""/>
            <o:lock v:ext="edit"/>
            <v:textbox>
              <w:txbxContent>
                <w:p>
                  <w:r>
                    <w:rPr>
                      <w:rFonts w:hint="eastAsia"/>
                    </w:rPr>
                    <w:t>附</w:t>
                  </w:r>
                  <w:r>
                    <w:rPr>
                      <w:rFonts w:hint="eastAsia" w:ascii="宋体" w:cs="宋体"/>
                      <w:bCs/>
                    </w:rPr>
                    <w:t>法定代表人及</w:t>
                  </w:r>
                  <w:r>
                    <w:rPr>
                      <w:rFonts w:hint="eastAsia"/>
                    </w:rPr>
                    <w:t xml:space="preserve">委托人身份证      </w:t>
                  </w:r>
                </w:p>
                <w:p/>
              </w:txbxContent>
            </v:textbox>
          </v:shape>
        </w:pict>
      </w:r>
      <w:r>
        <w:rPr>
          <w:rFonts w:hint="eastAsia" w:ascii="宋体" w:cs="宋体"/>
          <w:bCs/>
        </w:rPr>
        <w:t>代理人无转委托权。</w:t>
      </w:r>
    </w:p>
    <w:p>
      <w:pPr>
        <w:spacing w:line="360" w:lineRule="auto"/>
        <w:ind w:firstLine="420" w:firstLineChars="200"/>
        <w:rPr>
          <w:rFonts w:ascii="宋体" w:cs="宋体"/>
          <w:bCs/>
        </w:rPr>
      </w:pPr>
    </w:p>
    <w:p>
      <w:pPr>
        <w:spacing w:line="360" w:lineRule="auto"/>
        <w:ind w:firstLine="420" w:firstLineChars="200"/>
        <w:rPr>
          <w:rFonts w:ascii="宋体" w:cs="宋体"/>
          <w:bCs/>
        </w:rPr>
      </w:pPr>
    </w:p>
    <w:p>
      <w:pPr>
        <w:spacing w:line="360" w:lineRule="auto"/>
        <w:ind w:firstLine="420" w:firstLineChars="200"/>
        <w:rPr>
          <w:rFonts w:ascii="宋体" w:cs="宋体"/>
          <w:bCs/>
        </w:rPr>
      </w:pPr>
    </w:p>
    <w:p>
      <w:pPr>
        <w:spacing w:line="360" w:lineRule="auto"/>
        <w:ind w:firstLine="420" w:firstLineChars="200"/>
        <w:rPr>
          <w:rFonts w:ascii="宋体" w:cs="宋体"/>
          <w:bCs/>
        </w:rPr>
      </w:pPr>
    </w:p>
    <w:p>
      <w:pPr>
        <w:spacing w:line="360" w:lineRule="auto"/>
        <w:ind w:firstLine="420" w:firstLineChars="200"/>
        <w:rPr>
          <w:rFonts w:ascii="宋体" w:cs="宋体"/>
          <w:bCs/>
        </w:rPr>
      </w:pPr>
    </w:p>
    <w:p>
      <w:pPr>
        <w:spacing w:line="360" w:lineRule="auto"/>
        <w:ind w:firstLine="420" w:firstLineChars="200"/>
        <w:rPr>
          <w:rFonts w:ascii="宋体" w:cs="宋体"/>
          <w:bCs/>
        </w:rPr>
      </w:pPr>
    </w:p>
    <w:p>
      <w:pPr>
        <w:spacing w:line="360" w:lineRule="auto"/>
        <w:ind w:firstLine="420" w:firstLineChars="200"/>
        <w:rPr>
          <w:rFonts w:ascii="宋体" w:cs="宋体"/>
          <w:bCs/>
        </w:rPr>
      </w:pPr>
    </w:p>
    <w:p>
      <w:pPr>
        <w:spacing w:line="360" w:lineRule="auto"/>
        <w:ind w:firstLine="4725" w:firstLineChars="2250"/>
        <w:jc w:val="left"/>
        <w:rPr>
          <w:rFonts w:ascii="宋体" w:cs="宋体"/>
          <w:bCs/>
        </w:rPr>
      </w:pPr>
      <w:r>
        <w:rPr>
          <w:rFonts w:hint="eastAsia" w:ascii="宋体" w:cs="宋体"/>
          <w:bCs/>
        </w:rPr>
        <w:t>投标人：</w:t>
      </w:r>
      <w:r>
        <w:rPr>
          <w:rFonts w:hint="eastAsia" w:ascii="宋体" w:cs="宋体"/>
          <w:bCs/>
          <w:u w:val="single"/>
        </w:rPr>
        <w:t xml:space="preserve">              </w:t>
      </w:r>
      <w:r>
        <w:rPr>
          <w:rFonts w:hint="eastAsia" w:ascii="宋体" w:cs="宋体"/>
          <w:bCs/>
        </w:rPr>
        <w:t>（盖单位章）</w:t>
      </w:r>
    </w:p>
    <w:p>
      <w:pPr>
        <w:spacing w:line="360" w:lineRule="auto"/>
        <w:ind w:firstLine="420" w:firstLineChars="200"/>
        <w:rPr>
          <w:rFonts w:ascii="宋体" w:cs="宋体"/>
          <w:bCs/>
        </w:rPr>
      </w:pPr>
    </w:p>
    <w:p>
      <w:pPr>
        <w:spacing w:line="360" w:lineRule="auto"/>
        <w:ind w:firstLine="4725" w:firstLineChars="2250"/>
        <w:jc w:val="left"/>
        <w:rPr>
          <w:rFonts w:ascii="宋体" w:cs="宋体"/>
          <w:bCs/>
        </w:rPr>
      </w:pPr>
      <w:r>
        <w:rPr>
          <w:rFonts w:hint="eastAsia" w:ascii="宋体" w:cs="宋体"/>
          <w:bCs/>
        </w:rPr>
        <w:t>法定代表人：</w:t>
      </w:r>
      <w:r>
        <w:rPr>
          <w:rFonts w:hint="eastAsia" w:ascii="宋体" w:cs="宋体"/>
          <w:bCs/>
          <w:u w:val="single"/>
        </w:rPr>
        <w:t xml:space="preserve">           </w:t>
      </w:r>
      <w:r>
        <w:rPr>
          <w:rFonts w:hint="eastAsia" w:ascii="宋体" w:cs="宋体"/>
          <w:bCs/>
        </w:rPr>
        <w:t>（签字或盖章）</w:t>
      </w:r>
    </w:p>
    <w:p>
      <w:pPr>
        <w:spacing w:line="360" w:lineRule="auto"/>
        <w:ind w:firstLine="420" w:firstLineChars="200"/>
        <w:rPr>
          <w:rFonts w:ascii="宋体" w:cs="宋体"/>
          <w:bCs/>
        </w:rPr>
      </w:pPr>
    </w:p>
    <w:p>
      <w:pPr>
        <w:spacing w:line="360" w:lineRule="auto"/>
        <w:ind w:firstLine="4620" w:firstLineChars="2200"/>
        <w:rPr>
          <w:rFonts w:ascii="宋体" w:cs="宋体"/>
          <w:bCs/>
        </w:rPr>
      </w:pPr>
      <w:r>
        <w:rPr>
          <w:rFonts w:hint="eastAsia" w:ascii="宋体" w:cs="宋体"/>
          <w:bCs/>
        </w:rPr>
        <w:t xml:space="preserve"> 委托代理人：</w:t>
      </w:r>
      <w:r>
        <w:rPr>
          <w:rFonts w:hint="eastAsia" w:ascii="宋体" w:cs="宋体"/>
          <w:bCs/>
          <w:u w:val="single"/>
        </w:rPr>
        <w:t xml:space="preserve">          </w:t>
      </w:r>
      <w:r>
        <w:rPr>
          <w:rFonts w:hint="eastAsia" w:ascii="宋体" w:cs="宋体"/>
          <w:bCs/>
        </w:rPr>
        <w:t>（签字或盖章）</w:t>
      </w:r>
    </w:p>
    <w:p>
      <w:pPr>
        <w:spacing w:line="360" w:lineRule="auto"/>
        <w:ind w:firstLine="420" w:firstLineChars="200"/>
        <w:rPr>
          <w:rFonts w:ascii="宋体" w:cs="宋体"/>
          <w:bCs/>
        </w:rPr>
      </w:pPr>
    </w:p>
    <w:p>
      <w:pPr>
        <w:spacing w:line="360" w:lineRule="auto"/>
        <w:ind w:firstLine="4725" w:firstLineChars="2250"/>
        <w:rPr>
          <w:rFonts w:ascii="宋体" w:cs="宋体"/>
          <w:bCs/>
        </w:rPr>
      </w:pPr>
      <w:r>
        <w:rPr>
          <w:rFonts w:hint="eastAsia" w:ascii="宋体" w:cs="宋体"/>
          <w:bCs/>
        </w:rPr>
        <w:t>身份证号码：</w:t>
      </w:r>
      <w:r>
        <w:rPr>
          <w:rFonts w:hint="eastAsia" w:ascii="宋体" w:cs="宋体"/>
          <w:bCs/>
          <w:u w:val="single"/>
        </w:rPr>
        <w:t xml:space="preserve">                          </w:t>
      </w:r>
    </w:p>
    <w:p>
      <w:pPr>
        <w:spacing w:line="360" w:lineRule="auto"/>
        <w:rPr>
          <w:rFonts w:ascii="宋体" w:cs="宋体"/>
          <w:bCs/>
        </w:rPr>
      </w:pPr>
    </w:p>
    <w:p>
      <w:pPr>
        <w:spacing w:line="360" w:lineRule="auto"/>
        <w:ind w:firstLine="5040" w:firstLineChars="2400"/>
        <w:jc w:val="left"/>
        <w:rPr>
          <w:rFonts w:ascii="宋体" w:cs="宋体"/>
          <w:bCs/>
        </w:rPr>
      </w:pPr>
      <w:r>
        <w:rPr>
          <w:rFonts w:hint="eastAsia" w:ascii="宋体" w:cs="宋体"/>
          <w:bCs/>
        </w:rPr>
        <w:t xml:space="preserve">                   </w:t>
      </w:r>
      <w:r>
        <w:rPr>
          <w:rFonts w:hint="eastAsia" w:ascii="宋体" w:cs="宋体"/>
          <w:bCs/>
          <w:u w:val="single"/>
        </w:rPr>
        <w:t xml:space="preserve">  </w:t>
      </w:r>
      <w:r>
        <w:rPr>
          <w:rFonts w:hint="eastAsia" w:ascii="宋体" w:cs="宋体"/>
          <w:bCs/>
        </w:rPr>
        <w:t>年</w:t>
      </w:r>
      <w:r>
        <w:rPr>
          <w:rFonts w:hint="eastAsia" w:ascii="宋体" w:cs="宋体"/>
          <w:bCs/>
          <w:u w:val="single"/>
        </w:rPr>
        <w:t xml:space="preserve">  </w:t>
      </w:r>
      <w:r>
        <w:rPr>
          <w:rFonts w:hint="eastAsia" w:ascii="宋体" w:cs="宋体"/>
          <w:bCs/>
        </w:rPr>
        <w:t>月</w:t>
      </w:r>
      <w:r>
        <w:rPr>
          <w:rFonts w:hint="eastAsia" w:ascii="宋体" w:cs="宋体"/>
          <w:bCs/>
          <w:u w:val="single"/>
        </w:rPr>
        <w:t xml:space="preserve">  </w:t>
      </w:r>
      <w:r>
        <w:rPr>
          <w:rFonts w:hint="eastAsia" w:ascii="宋体" w:cs="宋体"/>
          <w:bCs/>
        </w:rPr>
        <w:t>日</w:t>
      </w:r>
    </w:p>
    <w:p>
      <w:pPr>
        <w:spacing w:line="360" w:lineRule="auto"/>
        <w:ind w:firstLine="5040" w:firstLineChars="2400"/>
        <w:rPr>
          <w:rFonts w:ascii="宋体" w:cs="宋体"/>
          <w:bCs/>
        </w:rPr>
      </w:pPr>
    </w:p>
    <w:p>
      <w:pPr>
        <w:pStyle w:val="3"/>
        <w:rPr>
          <w:rFonts w:ascii="宋体" w:eastAsia="宋体" w:cs="宋体"/>
          <w:sz w:val="24"/>
          <w:szCs w:val="24"/>
        </w:rPr>
        <w:sectPr>
          <w:headerReference r:id="rId8" w:type="default"/>
          <w:footerReference r:id="rId9" w:type="default"/>
          <w:pgSz w:w="11906" w:h="16838"/>
          <w:pgMar w:top="1418" w:right="1134" w:bottom="1134" w:left="1361" w:header="851" w:footer="851" w:gutter="0"/>
          <w:cols w:space="720" w:num="1"/>
          <w:titlePg/>
          <w:docGrid w:type="lines" w:linePitch="312" w:charSpace="0"/>
        </w:sectPr>
      </w:pPr>
    </w:p>
    <w:p>
      <w:pPr>
        <w:pStyle w:val="117"/>
        <w:jc w:val="center"/>
        <w:rPr>
          <w:b/>
          <w:bCs/>
        </w:rPr>
      </w:pPr>
      <w:bookmarkStart w:id="176" w:name="_Toc445796138"/>
      <w:r>
        <w:rPr>
          <w:rFonts w:hint="eastAsia"/>
          <w:b/>
          <w:bCs/>
        </w:rPr>
        <w:t>4.投标保证金</w:t>
      </w:r>
      <w:bookmarkEnd w:id="176"/>
    </w:p>
    <w:p>
      <w:pPr>
        <w:rPr>
          <w:rFonts w:ascii="宋体" w:cs="宋体"/>
          <w:b/>
          <w:sz w:val="18"/>
          <w:szCs w:val="18"/>
        </w:rPr>
      </w:pPr>
      <w:r>
        <w:rPr>
          <w:rFonts w:hint="eastAsia" w:ascii="宋体" w:cs="宋体"/>
          <w:b/>
          <w:sz w:val="18"/>
          <w:szCs w:val="18"/>
        </w:rPr>
        <w:t>附：转账凭证</w:t>
      </w:r>
    </w:p>
    <w:p>
      <w:pPr>
        <w:rPr>
          <w:rFonts w:ascii="宋体" w:cs="宋体"/>
          <w:b/>
          <w:sz w:val="18"/>
          <w:szCs w:val="18"/>
        </w:rPr>
      </w:pPr>
    </w:p>
    <w:p/>
    <w:p/>
    <w:p/>
    <w:p/>
    <w:p/>
    <w:p/>
    <w:p/>
    <w:p/>
    <w:p/>
    <w:p/>
    <w:p/>
    <w:p/>
    <w:p/>
    <w:p/>
    <w:p/>
    <w:p/>
    <w:p/>
    <w:p/>
    <w:p/>
    <w:p/>
    <w:p/>
    <w:p/>
    <w:p/>
    <w:p/>
    <w:p/>
    <w:p/>
    <w:p/>
    <w:p/>
    <w:p/>
    <w:p/>
    <w:p/>
    <w:p/>
    <w:p/>
    <w:p/>
    <w:p/>
    <w:p/>
    <w:p>
      <w:pPr>
        <w:adjustRightInd w:val="0"/>
        <w:snapToGrid w:val="0"/>
        <w:spacing w:beforeLines="20" w:afterLines="20"/>
        <w:rPr>
          <w:b/>
          <w:sz w:val="32"/>
          <w:szCs w:val="32"/>
        </w:rPr>
      </w:pPr>
    </w:p>
    <w:p>
      <w:pPr>
        <w:adjustRightInd w:val="0"/>
        <w:snapToGrid w:val="0"/>
        <w:spacing w:beforeLines="20" w:afterLines="20"/>
        <w:rPr>
          <w:b/>
          <w:sz w:val="32"/>
          <w:szCs w:val="32"/>
        </w:rPr>
      </w:pPr>
    </w:p>
    <w:p>
      <w:pPr>
        <w:adjustRightInd w:val="0"/>
        <w:snapToGrid w:val="0"/>
        <w:spacing w:beforeLines="20" w:afterLines="20"/>
        <w:rPr>
          <w:b/>
          <w:sz w:val="32"/>
          <w:szCs w:val="32"/>
        </w:rPr>
      </w:pPr>
    </w:p>
    <w:p>
      <w:pPr>
        <w:pStyle w:val="117"/>
        <w:jc w:val="center"/>
        <w:rPr>
          <w:b/>
          <w:bCs/>
        </w:rPr>
      </w:pPr>
      <w:r>
        <w:rPr>
          <w:rFonts w:hint="eastAsia"/>
          <w:b/>
          <w:bCs/>
        </w:rPr>
        <w:t>5. 投标人综合情况简介</w:t>
      </w:r>
    </w:p>
    <w:p>
      <w:pPr>
        <w:tabs>
          <w:tab w:val="left" w:pos="420"/>
          <w:tab w:val="left" w:pos="4200"/>
        </w:tabs>
        <w:spacing w:line="1700" w:lineRule="exact"/>
        <w:ind w:firstLine="1820" w:firstLineChars="650"/>
        <w:rPr>
          <w:rFonts w:hAnsi="宋体"/>
          <w:sz w:val="28"/>
        </w:rPr>
      </w:pPr>
    </w:p>
    <w:p>
      <w:pPr>
        <w:spacing w:line="500" w:lineRule="exact"/>
        <w:jc w:val="center"/>
        <w:rPr>
          <w:rFonts w:ascii="宋体" w:hAnsi="宋体"/>
          <w:b/>
          <w:sz w:val="24"/>
        </w:rPr>
      </w:pPr>
      <w:r>
        <w:rPr>
          <w:rFonts w:hint="eastAsia" w:ascii="宋体" w:hAnsi="宋体"/>
          <w:b/>
          <w:sz w:val="24"/>
        </w:rPr>
        <w:t>(投标人可自行制作格式，应尽可能多的提供可以证明本企业综合实力的相关材料)</w:t>
      </w:r>
    </w:p>
    <w:p>
      <w:pPr>
        <w:spacing w:line="500" w:lineRule="exact"/>
        <w:jc w:val="center"/>
        <w:rPr>
          <w:rFonts w:ascii="宋体" w:hAnsi="宋体"/>
          <w:sz w:val="28"/>
        </w:rPr>
      </w:pPr>
    </w:p>
    <w:p>
      <w:pPr>
        <w:pStyle w:val="16"/>
        <w:spacing w:beforeLines="50" w:afterLines="50" w:line="300" w:lineRule="auto"/>
        <w:jc w:val="right"/>
        <w:rPr>
          <w:spacing w:val="20"/>
          <w:sz w:val="21"/>
          <w:szCs w:val="21"/>
        </w:rPr>
      </w:pPr>
    </w:p>
    <w:p>
      <w:pPr>
        <w:pStyle w:val="16"/>
        <w:spacing w:beforeLines="50" w:afterLines="50" w:line="300" w:lineRule="auto"/>
        <w:jc w:val="right"/>
        <w:rPr>
          <w:spacing w:val="20"/>
          <w:sz w:val="21"/>
          <w:szCs w:val="21"/>
        </w:rPr>
      </w:pPr>
    </w:p>
    <w:p>
      <w:pPr>
        <w:spacing w:line="360" w:lineRule="auto"/>
        <w:rPr>
          <w:rFonts w:ascii="宋体" w:cs="宋体"/>
          <w:bCs/>
          <w:kern w:val="0"/>
        </w:rPr>
      </w:pPr>
    </w:p>
    <w:p>
      <w:pPr>
        <w:pStyle w:val="16"/>
        <w:spacing w:beforeLines="50" w:afterLines="50" w:line="300" w:lineRule="auto"/>
        <w:rPr>
          <w:b/>
          <w:szCs w:val="32"/>
        </w:rPr>
      </w:pPr>
      <w:bookmarkStart w:id="177" w:name="_Toc296602619"/>
      <w:bookmarkStart w:id="178" w:name="_Toc144974877"/>
      <w:bookmarkStart w:id="179" w:name="_Toc247527849"/>
      <w:bookmarkStart w:id="180" w:name="_Toc152045809"/>
      <w:bookmarkStart w:id="181" w:name="_Toc265953295"/>
      <w:bookmarkStart w:id="182" w:name="_Toc152042598"/>
      <w:bookmarkStart w:id="183" w:name="_Toc247514301"/>
    </w:p>
    <w:p>
      <w:pPr>
        <w:pStyle w:val="16"/>
        <w:spacing w:beforeLines="50" w:afterLines="50" w:line="300" w:lineRule="auto"/>
        <w:rPr>
          <w:b/>
          <w:szCs w:val="32"/>
        </w:rPr>
      </w:pPr>
    </w:p>
    <w:p>
      <w:pPr>
        <w:pStyle w:val="16"/>
        <w:spacing w:beforeLines="50" w:afterLines="50" w:line="300" w:lineRule="auto"/>
        <w:rPr>
          <w:b/>
          <w:szCs w:val="32"/>
        </w:rPr>
      </w:pPr>
    </w:p>
    <w:p>
      <w:pPr>
        <w:pStyle w:val="16"/>
        <w:spacing w:beforeLines="50" w:afterLines="50" w:line="300" w:lineRule="auto"/>
        <w:rPr>
          <w:b/>
          <w:szCs w:val="32"/>
        </w:rPr>
      </w:pPr>
    </w:p>
    <w:p>
      <w:pPr>
        <w:pStyle w:val="16"/>
        <w:spacing w:beforeLines="50" w:afterLines="50" w:line="300" w:lineRule="auto"/>
        <w:rPr>
          <w:b/>
          <w:szCs w:val="32"/>
        </w:rPr>
      </w:pPr>
    </w:p>
    <w:p>
      <w:pPr>
        <w:pStyle w:val="16"/>
        <w:spacing w:beforeLines="50" w:afterLines="50" w:line="300" w:lineRule="auto"/>
        <w:rPr>
          <w:b/>
          <w:szCs w:val="32"/>
        </w:rPr>
      </w:pPr>
    </w:p>
    <w:p>
      <w:pPr>
        <w:pStyle w:val="16"/>
        <w:spacing w:beforeLines="50" w:afterLines="50" w:line="300" w:lineRule="auto"/>
        <w:rPr>
          <w:b/>
          <w:szCs w:val="32"/>
        </w:rPr>
      </w:pPr>
    </w:p>
    <w:p>
      <w:pPr>
        <w:pStyle w:val="16"/>
        <w:spacing w:beforeLines="50" w:afterLines="50" w:line="300" w:lineRule="auto"/>
        <w:rPr>
          <w:b/>
          <w:szCs w:val="32"/>
        </w:rPr>
      </w:pPr>
    </w:p>
    <w:p>
      <w:pPr>
        <w:pStyle w:val="16"/>
        <w:spacing w:beforeLines="50" w:afterLines="50" w:line="300" w:lineRule="auto"/>
        <w:rPr>
          <w:b/>
          <w:szCs w:val="32"/>
        </w:rPr>
      </w:pPr>
    </w:p>
    <w:p>
      <w:pPr>
        <w:pStyle w:val="16"/>
        <w:spacing w:beforeLines="50" w:afterLines="50" w:line="300" w:lineRule="auto"/>
        <w:rPr>
          <w:b/>
          <w:szCs w:val="32"/>
        </w:rPr>
      </w:pPr>
    </w:p>
    <w:p>
      <w:pPr>
        <w:pStyle w:val="16"/>
        <w:spacing w:beforeLines="50" w:afterLines="50" w:line="300" w:lineRule="auto"/>
        <w:rPr>
          <w:b/>
          <w:szCs w:val="32"/>
        </w:rPr>
      </w:pPr>
    </w:p>
    <w:p>
      <w:pPr>
        <w:pStyle w:val="16"/>
        <w:spacing w:beforeLines="50" w:afterLines="50" w:line="300" w:lineRule="auto"/>
        <w:rPr>
          <w:b/>
          <w:szCs w:val="32"/>
        </w:rPr>
      </w:pPr>
    </w:p>
    <w:p>
      <w:pPr>
        <w:pStyle w:val="16"/>
        <w:spacing w:beforeLines="50" w:afterLines="50" w:line="300" w:lineRule="auto"/>
        <w:rPr>
          <w:b/>
          <w:szCs w:val="32"/>
        </w:rPr>
      </w:pPr>
    </w:p>
    <w:p>
      <w:pPr>
        <w:pStyle w:val="16"/>
        <w:spacing w:beforeLines="50" w:afterLines="50" w:line="300" w:lineRule="auto"/>
        <w:rPr>
          <w:b/>
          <w:szCs w:val="32"/>
        </w:rPr>
      </w:pPr>
    </w:p>
    <w:p>
      <w:pPr>
        <w:pStyle w:val="16"/>
        <w:spacing w:beforeLines="50" w:afterLines="50" w:line="300" w:lineRule="auto"/>
        <w:rPr>
          <w:b/>
          <w:szCs w:val="32"/>
        </w:rPr>
      </w:pPr>
    </w:p>
    <w:p>
      <w:pPr>
        <w:pStyle w:val="16"/>
        <w:spacing w:beforeLines="50" w:afterLines="50" w:line="300" w:lineRule="auto"/>
        <w:rPr>
          <w:b/>
          <w:szCs w:val="32"/>
        </w:rPr>
      </w:pPr>
    </w:p>
    <w:p>
      <w:pPr>
        <w:pStyle w:val="117"/>
        <w:jc w:val="center"/>
        <w:rPr>
          <w:b/>
          <w:bCs/>
        </w:rPr>
      </w:pPr>
      <w:r>
        <w:rPr>
          <w:rFonts w:hint="eastAsia"/>
          <w:b/>
          <w:bCs/>
        </w:rPr>
        <w:t>6.项目业绩一览表</w:t>
      </w:r>
    </w:p>
    <w:tbl>
      <w:tblPr>
        <w:tblStyle w:val="46"/>
        <w:tblW w:w="8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620"/>
        <w:gridCol w:w="1440"/>
        <w:gridCol w:w="1395"/>
        <w:gridCol w:w="1040"/>
        <w:gridCol w:w="1094"/>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644" w:type="dxa"/>
            <w:vAlign w:val="center"/>
          </w:tcPr>
          <w:p>
            <w:pPr>
              <w:spacing w:line="500" w:lineRule="exact"/>
              <w:jc w:val="center"/>
              <w:rPr>
                <w:rFonts w:ascii="宋体" w:hAnsi="宋体"/>
              </w:rPr>
            </w:pPr>
            <w:r>
              <w:rPr>
                <w:rFonts w:hint="eastAsia" w:ascii="宋体" w:hAnsi="宋体" w:cs="宋体"/>
              </w:rPr>
              <w:t>序号</w:t>
            </w:r>
          </w:p>
        </w:tc>
        <w:tc>
          <w:tcPr>
            <w:tcW w:w="1620" w:type="dxa"/>
            <w:vAlign w:val="center"/>
          </w:tcPr>
          <w:p>
            <w:pPr>
              <w:spacing w:line="500" w:lineRule="exact"/>
              <w:jc w:val="center"/>
              <w:rPr>
                <w:rFonts w:ascii="宋体" w:hAnsi="宋体"/>
              </w:rPr>
            </w:pPr>
            <w:r>
              <w:rPr>
                <w:rFonts w:hint="eastAsia" w:ascii="宋体" w:hAnsi="宋体" w:cs="宋体"/>
              </w:rPr>
              <w:t>项目简称</w:t>
            </w:r>
          </w:p>
        </w:tc>
        <w:tc>
          <w:tcPr>
            <w:tcW w:w="1440" w:type="dxa"/>
            <w:vAlign w:val="center"/>
          </w:tcPr>
          <w:p>
            <w:pPr>
              <w:spacing w:line="500" w:lineRule="exact"/>
              <w:jc w:val="center"/>
              <w:rPr>
                <w:rFonts w:ascii="宋体" w:hAnsi="宋体"/>
              </w:rPr>
            </w:pPr>
            <w:r>
              <w:rPr>
                <w:rFonts w:hint="eastAsia" w:ascii="宋体" w:hAnsi="宋体" w:cs="宋体"/>
              </w:rPr>
              <w:t>发行企业</w:t>
            </w:r>
          </w:p>
        </w:tc>
        <w:tc>
          <w:tcPr>
            <w:tcW w:w="1395" w:type="dxa"/>
            <w:vAlign w:val="center"/>
          </w:tcPr>
          <w:p>
            <w:pPr>
              <w:spacing w:line="500" w:lineRule="exact"/>
              <w:jc w:val="center"/>
              <w:rPr>
                <w:rFonts w:ascii="宋体" w:hAnsi="宋体"/>
              </w:rPr>
            </w:pPr>
            <w:r>
              <w:rPr>
                <w:rFonts w:hint="eastAsia" w:ascii="宋体" w:hAnsi="宋体" w:cs="宋体"/>
              </w:rPr>
              <w:t>发行规模</w:t>
            </w:r>
          </w:p>
          <w:p>
            <w:pPr>
              <w:spacing w:line="500" w:lineRule="exact"/>
              <w:jc w:val="center"/>
              <w:rPr>
                <w:rFonts w:ascii="宋体" w:hAnsi="宋体"/>
              </w:rPr>
            </w:pPr>
            <w:r>
              <w:rPr>
                <w:rFonts w:hint="eastAsia" w:ascii="宋体" w:hAnsi="宋体" w:cs="宋体"/>
              </w:rPr>
              <w:t>（亿元）</w:t>
            </w:r>
          </w:p>
        </w:tc>
        <w:tc>
          <w:tcPr>
            <w:tcW w:w="1040" w:type="dxa"/>
            <w:vAlign w:val="center"/>
          </w:tcPr>
          <w:p>
            <w:pPr>
              <w:widowControl/>
              <w:jc w:val="left"/>
              <w:rPr>
                <w:rFonts w:ascii="宋体" w:hAnsi="宋体"/>
              </w:rPr>
            </w:pPr>
            <w:r>
              <w:rPr>
                <w:rFonts w:hint="eastAsia" w:ascii="宋体" w:hAnsi="宋体" w:cs="宋体"/>
              </w:rPr>
              <w:t>利</w:t>
            </w:r>
          </w:p>
          <w:p>
            <w:pPr>
              <w:spacing w:line="500" w:lineRule="exact"/>
              <w:rPr>
                <w:rFonts w:ascii="宋体" w:hAnsi="宋体"/>
              </w:rPr>
            </w:pPr>
            <w:r>
              <w:rPr>
                <w:rFonts w:hint="eastAsia" w:ascii="宋体" w:hAnsi="宋体" w:cs="宋体"/>
              </w:rPr>
              <w:t>率</w:t>
            </w:r>
          </w:p>
        </w:tc>
        <w:tc>
          <w:tcPr>
            <w:tcW w:w="1094" w:type="dxa"/>
          </w:tcPr>
          <w:p>
            <w:pPr>
              <w:spacing w:line="500" w:lineRule="exact"/>
              <w:jc w:val="center"/>
              <w:rPr>
                <w:rFonts w:ascii="宋体" w:hAnsi="宋体"/>
              </w:rPr>
            </w:pPr>
            <w:r>
              <w:rPr>
                <w:rFonts w:hint="eastAsia" w:ascii="宋体" w:hAnsi="宋体" w:cs="宋体"/>
              </w:rPr>
              <w:t>发行起始日期</w:t>
            </w:r>
          </w:p>
        </w:tc>
        <w:tc>
          <w:tcPr>
            <w:tcW w:w="1760" w:type="dxa"/>
            <w:vAlign w:val="center"/>
          </w:tcPr>
          <w:p>
            <w:pPr>
              <w:spacing w:line="500" w:lineRule="exact"/>
              <w:ind w:firstLine="412" w:firstLineChars="196"/>
              <w:rPr>
                <w:rFonts w:ascii="宋体" w:hAnsi="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644" w:type="dxa"/>
            <w:vAlign w:val="center"/>
          </w:tcPr>
          <w:p>
            <w:pPr>
              <w:spacing w:line="500" w:lineRule="exact"/>
              <w:jc w:val="center"/>
              <w:rPr>
                <w:rFonts w:ascii="宋体" w:hAnsi="宋体"/>
              </w:rPr>
            </w:pPr>
            <w:r>
              <w:rPr>
                <w:rFonts w:ascii="宋体" w:hAnsi="宋体" w:cs="宋体"/>
              </w:rPr>
              <w:t>1</w:t>
            </w:r>
          </w:p>
        </w:tc>
        <w:tc>
          <w:tcPr>
            <w:tcW w:w="1620" w:type="dxa"/>
            <w:vAlign w:val="center"/>
          </w:tcPr>
          <w:p>
            <w:pPr>
              <w:spacing w:line="500" w:lineRule="exact"/>
              <w:jc w:val="center"/>
              <w:rPr>
                <w:rFonts w:ascii="宋体" w:hAnsi="宋体"/>
              </w:rPr>
            </w:pPr>
            <w:r>
              <w:rPr>
                <w:rFonts w:hint="eastAsia" w:ascii="宋体" w:hAnsi="宋体" w:cs="宋体"/>
              </w:rPr>
              <w:t>……</w:t>
            </w:r>
          </w:p>
        </w:tc>
        <w:tc>
          <w:tcPr>
            <w:tcW w:w="1440" w:type="dxa"/>
            <w:vAlign w:val="center"/>
          </w:tcPr>
          <w:p>
            <w:pPr>
              <w:spacing w:line="500" w:lineRule="exact"/>
              <w:jc w:val="center"/>
              <w:rPr>
                <w:rFonts w:ascii="宋体" w:hAnsi="宋体"/>
              </w:rPr>
            </w:pPr>
            <w:r>
              <w:rPr>
                <w:rFonts w:hint="eastAsia" w:ascii="宋体" w:hAnsi="宋体" w:cs="宋体"/>
              </w:rPr>
              <w:t>……</w:t>
            </w:r>
          </w:p>
        </w:tc>
        <w:tc>
          <w:tcPr>
            <w:tcW w:w="1395" w:type="dxa"/>
            <w:vAlign w:val="center"/>
          </w:tcPr>
          <w:p>
            <w:pPr>
              <w:spacing w:line="500" w:lineRule="exact"/>
              <w:jc w:val="center"/>
              <w:rPr>
                <w:rFonts w:ascii="宋体" w:hAnsi="宋体"/>
              </w:rPr>
            </w:pPr>
            <w:r>
              <w:rPr>
                <w:rFonts w:hint="eastAsia" w:ascii="宋体" w:hAnsi="宋体" w:cs="宋体"/>
              </w:rPr>
              <w:t>……</w:t>
            </w:r>
          </w:p>
        </w:tc>
        <w:tc>
          <w:tcPr>
            <w:tcW w:w="1040" w:type="dxa"/>
            <w:vAlign w:val="center"/>
          </w:tcPr>
          <w:p>
            <w:pPr>
              <w:spacing w:line="500" w:lineRule="exact"/>
              <w:jc w:val="center"/>
              <w:rPr>
                <w:rFonts w:ascii="宋体" w:hAnsi="宋体"/>
              </w:rPr>
            </w:pPr>
          </w:p>
        </w:tc>
        <w:tc>
          <w:tcPr>
            <w:tcW w:w="1094" w:type="dxa"/>
          </w:tcPr>
          <w:p>
            <w:pPr>
              <w:spacing w:line="500" w:lineRule="exact"/>
              <w:jc w:val="center"/>
              <w:rPr>
                <w:rFonts w:ascii="宋体" w:hAnsi="宋体"/>
              </w:rPr>
            </w:pPr>
            <w:r>
              <w:rPr>
                <w:rFonts w:hint="eastAsia" w:ascii="宋体" w:hAnsi="宋体" w:cs="宋体"/>
              </w:rPr>
              <w:t>……</w:t>
            </w:r>
          </w:p>
        </w:tc>
        <w:tc>
          <w:tcPr>
            <w:tcW w:w="1760" w:type="dxa"/>
          </w:tcPr>
          <w:p>
            <w:pPr>
              <w:spacing w:line="50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644" w:type="dxa"/>
            <w:vAlign w:val="center"/>
          </w:tcPr>
          <w:p>
            <w:pPr>
              <w:spacing w:line="500" w:lineRule="exact"/>
              <w:jc w:val="center"/>
              <w:rPr>
                <w:rFonts w:ascii="宋体" w:hAnsi="宋体"/>
              </w:rPr>
            </w:pPr>
            <w:r>
              <w:rPr>
                <w:rFonts w:ascii="宋体" w:hAnsi="宋体" w:cs="宋体"/>
              </w:rPr>
              <w:t>2</w:t>
            </w:r>
          </w:p>
        </w:tc>
        <w:tc>
          <w:tcPr>
            <w:tcW w:w="1620" w:type="dxa"/>
            <w:vAlign w:val="center"/>
          </w:tcPr>
          <w:p>
            <w:pPr>
              <w:spacing w:line="500" w:lineRule="exact"/>
              <w:jc w:val="center"/>
              <w:rPr>
                <w:rFonts w:ascii="宋体" w:hAnsi="宋体"/>
              </w:rPr>
            </w:pPr>
          </w:p>
        </w:tc>
        <w:tc>
          <w:tcPr>
            <w:tcW w:w="1440" w:type="dxa"/>
            <w:vAlign w:val="center"/>
          </w:tcPr>
          <w:p>
            <w:pPr>
              <w:spacing w:line="500" w:lineRule="exact"/>
              <w:jc w:val="center"/>
              <w:rPr>
                <w:rFonts w:ascii="宋体" w:hAnsi="宋体"/>
              </w:rPr>
            </w:pPr>
          </w:p>
        </w:tc>
        <w:tc>
          <w:tcPr>
            <w:tcW w:w="1395" w:type="dxa"/>
            <w:vAlign w:val="center"/>
          </w:tcPr>
          <w:p>
            <w:pPr>
              <w:spacing w:line="500" w:lineRule="exact"/>
              <w:jc w:val="center"/>
              <w:rPr>
                <w:rFonts w:ascii="宋体" w:hAnsi="宋体"/>
              </w:rPr>
            </w:pPr>
          </w:p>
        </w:tc>
        <w:tc>
          <w:tcPr>
            <w:tcW w:w="1040" w:type="dxa"/>
            <w:vAlign w:val="center"/>
          </w:tcPr>
          <w:p>
            <w:pPr>
              <w:spacing w:line="500" w:lineRule="exact"/>
              <w:jc w:val="center"/>
              <w:rPr>
                <w:rFonts w:ascii="宋体" w:hAnsi="宋体"/>
              </w:rPr>
            </w:pPr>
          </w:p>
        </w:tc>
        <w:tc>
          <w:tcPr>
            <w:tcW w:w="1094" w:type="dxa"/>
          </w:tcPr>
          <w:p>
            <w:pPr>
              <w:spacing w:line="500" w:lineRule="exact"/>
              <w:jc w:val="center"/>
              <w:rPr>
                <w:rFonts w:ascii="宋体" w:hAnsi="宋体"/>
              </w:rPr>
            </w:pPr>
          </w:p>
        </w:tc>
        <w:tc>
          <w:tcPr>
            <w:tcW w:w="1760" w:type="dxa"/>
          </w:tcPr>
          <w:p>
            <w:pPr>
              <w:spacing w:line="5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644" w:type="dxa"/>
            <w:vAlign w:val="center"/>
          </w:tcPr>
          <w:p>
            <w:pPr>
              <w:spacing w:line="500" w:lineRule="exact"/>
              <w:jc w:val="center"/>
              <w:rPr>
                <w:rFonts w:ascii="宋体" w:hAnsi="宋体"/>
              </w:rPr>
            </w:pPr>
          </w:p>
        </w:tc>
        <w:tc>
          <w:tcPr>
            <w:tcW w:w="1620" w:type="dxa"/>
            <w:vAlign w:val="center"/>
          </w:tcPr>
          <w:p>
            <w:pPr>
              <w:spacing w:line="500" w:lineRule="exact"/>
              <w:jc w:val="center"/>
              <w:rPr>
                <w:rFonts w:ascii="宋体" w:hAnsi="宋体"/>
              </w:rPr>
            </w:pPr>
          </w:p>
        </w:tc>
        <w:tc>
          <w:tcPr>
            <w:tcW w:w="1440" w:type="dxa"/>
            <w:vAlign w:val="center"/>
          </w:tcPr>
          <w:p>
            <w:pPr>
              <w:spacing w:line="500" w:lineRule="exact"/>
              <w:jc w:val="center"/>
              <w:rPr>
                <w:rFonts w:ascii="宋体" w:hAnsi="宋体"/>
              </w:rPr>
            </w:pPr>
          </w:p>
        </w:tc>
        <w:tc>
          <w:tcPr>
            <w:tcW w:w="1395" w:type="dxa"/>
            <w:vAlign w:val="center"/>
          </w:tcPr>
          <w:p>
            <w:pPr>
              <w:spacing w:line="500" w:lineRule="exact"/>
              <w:jc w:val="center"/>
              <w:rPr>
                <w:rFonts w:ascii="宋体" w:hAnsi="宋体"/>
              </w:rPr>
            </w:pPr>
          </w:p>
        </w:tc>
        <w:tc>
          <w:tcPr>
            <w:tcW w:w="1040" w:type="dxa"/>
            <w:vAlign w:val="center"/>
          </w:tcPr>
          <w:p>
            <w:pPr>
              <w:spacing w:line="500" w:lineRule="exact"/>
              <w:jc w:val="center"/>
              <w:rPr>
                <w:rFonts w:ascii="宋体" w:hAnsi="宋体"/>
              </w:rPr>
            </w:pPr>
          </w:p>
        </w:tc>
        <w:tc>
          <w:tcPr>
            <w:tcW w:w="1094" w:type="dxa"/>
          </w:tcPr>
          <w:p>
            <w:pPr>
              <w:spacing w:line="500" w:lineRule="exact"/>
              <w:jc w:val="center"/>
              <w:rPr>
                <w:rFonts w:ascii="宋体" w:hAnsi="宋体"/>
              </w:rPr>
            </w:pPr>
          </w:p>
        </w:tc>
        <w:tc>
          <w:tcPr>
            <w:tcW w:w="1760" w:type="dxa"/>
          </w:tcPr>
          <w:p>
            <w:pPr>
              <w:spacing w:line="5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644" w:type="dxa"/>
            <w:vAlign w:val="center"/>
          </w:tcPr>
          <w:p>
            <w:pPr>
              <w:spacing w:line="500" w:lineRule="exact"/>
              <w:jc w:val="center"/>
              <w:rPr>
                <w:rFonts w:ascii="宋体" w:hAnsi="宋体"/>
              </w:rPr>
            </w:pPr>
          </w:p>
        </w:tc>
        <w:tc>
          <w:tcPr>
            <w:tcW w:w="1620" w:type="dxa"/>
            <w:vAlign w:val="center"/>
          </w:tcPr>
          <w:p>
            <w:pPr>
              <w:spacing w:line="500" w:lineRule="exact"/>
              <w:jc w:val="center"/>
              <w:rPr>
                <w:rFonts w:ascii="宋体" w:hAnsi="宋体"/>
              </w:rPr>
            </w:pPr>
          </w:p>
        </w:tc>
        <w:tc>
          <w:tcPr>
            <w:tcW w:w="1440" w:type="dxa"/>
            <w:vAlign w:val="center"/>
          </w:tcPr>
          <w:p>
            <w:pPr>
              <w:spacing w:line="500" w:lineRule="exact"/>
              <w:jc w:val="center"/>
              <w:rPr>
                <w:rFonts w:ascii="宋体" w:hAnsi="宋体"/>
              </w:rPr>
            </w:pPr>
          </w:p>
        </w:tc>
        <w:tc>
          <w:tcPr>
            <w:tcW w:w="1395" w:type="dxa"/>
            <w:vAlign w:val="center"/>
          </w:tcPr>
          <w:p>
            <w:pPr>
              <w:spacing w:line="500" w:lineRule="exact"/>
              <w:jc w:val="center"/>
              <w:rPr>
                <w:rFonts w:ascii="宋体" w:hAnsi="宋体"/>
              </w:rPr>
            </w:pPr>
          </w:p>
        </w:tc>
        <w:tc>
          <w:tcPr>
            <w:tcW w:w="1040" w:type="dxa"/>
            <w:vAlign w:val="center"/>
          </w:tcPr>
          <w:p>
            <w:pPr>
              <w:spacing w:line="500" w:lineRule="exact"/>
              <w:jc w:val="center"/>
              <w:rPr>
                <w:rFonts w:ascii="宋体" w:hAnsi="宋体"/>
              </w:rPr>
            </w:pPr>
          </w:p>
        </w:tc>
        <w:tc>
          <w:tcPr>
            <w:tcW w:w="1094" w:type="dxa"/>
          </w:tcPr>
          <w:p>
            <w:pPr>
              <w:spacing w:line="500" w:lineRule="exact"/>
              <w:jc w:val="center"/>
              <w:rPr>
                <w:rFonts w:ascii="宋体" w:hAnsi="宋体"/>
              </w:rPr>
            </w:pPr>
          </w:p>
        </w:tc>
        <w:tc>
          <w:tcPr>
            <w:tcW w:w="1760" w:type="dxa"/>
          </w:tcPr>
          <w:p>
            <w:pPr>
              <w:spacing w:line="5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644" w:type="dxa"/>
            <w:vAlign w:val="center"/>
          </w:tcPr>
          <w:p>
            <w:pPr>
              <w:spacing w:line="500" w:lineRule="exact"/>
              <w:jc w:val="center"/>
              <w:rPr>
                <w:rFonts w:ascii="宋体" w:hAnsi="宋体"/>
              </w:rPr>
            </w:pPr>
          </w:p>
        </w:tc>
        <w:tc>
          <w:tcPr>
            <w:tcW w:w="1620" w:type="dxa"/>
            <w:vAlign w:val="center"/>
          </w:tcPr>
          <w:p>
            <w:pPr>
              <w:spacing w:line="500" w:lineRule="exact"/>
              <w:jc w:val="center"/>
              <w:rPr>
                <w:rFonts w:ascii="宋体" w:hAnsi="宋体"/>
              </w:rPr>
            </w:pPr>
          </w:p>
        </w:tc>
        <w:tc>
          <w:tcPr>
            <w:tcW w:w="1440" w:type="dxa"/>
            <w:vAlign w:val="center"/>
          </w:tcPr>
          <w:p>
            <w:pPr>
              <w:spacing w:line="500" w:lineRule="exact"/>
              <w:jc w:val="center"/>
              <w:rPr>
                <w:rFonts w:ascii="宋体" w:hAnsi="宋体"/>
              </w:rPr>
            </w:pPr>
          </w:p>
        </w:tc>
        <w:tc>
          <w:tcPr>
            <w:tcW w:w="1395" w:type="dxa"/>
            <w:vAlign w:val="center"/>
          </w:tcPr>
          <w:p>
            <w:pPr>
              <w:spacing w:line="500" w:lineRule="exact"/>
              <w:jc w:val="center"/>
              <w:rPr>
                <w:rFonts w:ascii="宋体" w:hAnsi="宋体"/>
              </w:rPr>
            </w:pPr>
          </w:p>
        </w:tc>
        <w:tc>
          <w:tcPr>
            <w:tcW w:w="1040" w:type="dxa"/>
            <w:vAlign w:val="center"/>
          </w:tcPr>
          <w:p>
            <w:pPr>
              <w:spacing w:line="500" w:lineRule="exact"/>
              <w:jc w:val="center"/>
              <w:rPr>
                <w:rFonts w:ascii="宋体" w:hAnsi="宋体"/>
              </w:rPr>
            </w:pPr>
          </w:p>
        </w:tc>
        <w:tc>
          <w:tcPr>
            <w:tcW w:w="1094" w:type="dxa"/>
          </w:tcPr>
          <w:p>
            <w:pPr>
              <w:spacing w:line="500" w:lineRule="exact"/>
              <w:jc w:val="center"/>
              <w:rPr>
                <w:rFonts w:ascii="宋体" w:hAnsi="宋体"/>
              </w:rPr>
            </w:pPr>
          </w:p>
        </w:tc>
        <w:tc>
          <w:tcPr>
            <w:tcW w:w="1760" w:type="dxa"/>
          </w:tcPr>
          <w:p>
            <w:pPr>
              <w:spacing w:line="5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644" w:type="dxa"/>
            <w:vAlign w:val="center"/>
          </w:tcPr>
          <w:p>
            <w:pPr>
              <w:spacing w:line="500" w:lineRule="exact"/>
              <w:jc w:val="center"/>
              <w:rPr>
                <w:rFonts w:ascii="宋体" w:hAnsi="宋体"/>
              </w:rPr>
            </w:pPr>
          </w:p>
        </w:tc>
        <w:tc>
          <w:tcPr>
            <w:tcW w:w="1620" w:type="dxa"/>
            <w:vAlign w:val="center"/>
          </w:tcPr>
          <w:p>
            <w:pPr>
              <w:spacing w:line="500" w:lineRule="exact"/>
              <w:jc w:val="center"/>
              <w:rPr>
                <w:rFonts w:ascii="宋体" w:hAnsi="宋体"/>
              </w:rPr>
            </w:pPr>
          </w:p>
        </w:tc>
        <w:tc>
          <w:tcPr>
            <w:tcW w:w="1440" w:type="dxa"/>
            <w:vAlign w:val="center"/>
          </w:tcPr>
          <w:p>
            <w:pPr>
              <w:spacing w:line="500" w:lineRule="exact"/>
              <w:jc w:val="center"/>
              <w:rPr>
                <w:rFonts w:ascii="宋体" w:hAnsi="宋体"/>
              </w:rPr>
            </w:pPr>
          </w:p>
        </w:tc>
        <w:tc>
          <w:tcPr>
            <w:tcW w:w="1395" w:type="dxa"/>
            <w:vAlign w:val="center"/>
          </w:tcPr>
          <w:p>
            <w:pPr>
              <w:spacing w:line="500" w:lineRule="exact"/>
              <w:jc w:val="center"/>
              <w:rPr>
                <w:rFonts w:ascii="宋体" w:hAnsi="宋体"/>
              </w:rPr>
            </w:pPr>
          </w:p>
        </w:tc>
        <w:tc>
          <w:tcPr>
            <w:tcW w:w="1040" w:type="dxa"/>
            <w:vAlign w:val="center"/>
          </w:tcPr>
          <w:p>
            <w:pPr>
              <w:spacing w:line="500" w:lineRule="exact"/>
              <w:jc w:val="center"/>
              <w:rPr>
                <w:rFonts w:ascii="宋体" w:hAnsi="宋体"/>
              </w:rPr>
            </w:pPr>
          </w:p>
        </w:tc>
        <w:tc>
          <w:tcPr>
            <w:tcW w:w="1094" w:type="dxa"/>
          </w:tcPr>
          <w:p>
            <w:pPr>
              <w:spacing w:line="500" w:lineRule="exact"/>
              <w:jc w:val="center"/>
              <w:rPr>
                <w:rFonts w:ascii="宋体" w:hAnsi="宋体"/>
              </w:rPr>
            </w:pPr>
          </w:p>
        </w:tc>
        <w:tc>
          <w:tcPr>
            <w:tcW w:w="1760" w:type="dxa"/>
          </w:tcPr>
          <w:p>
            <w:pPr>
              <w:spacing w:line="5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644" w:type="dxa"/>
            <w:vAlign w:val="center"/>
          </w:tcPr>
          <w:p>
            <w:pPr>
              <w:spacing w:line="500" w:lineRule="exact"/>
              <w:jc w:val="center"/>
              <w:rPr>
                <w:rFonts w:ascii="宋体" w:hAnsi="宋体"/>
              </w:rPr>
            </w:pPr>
          </w:p>
        </w:tc>
        <w:tc>
          <w:tcPr>
            <w:tcW w:w="1620" w:type="dxa"/>
            <w:vAlign w:val="center"/>
          </w:tcPr>
          <w:p>
            <w:pPr>
              <w:spacing w:line="500" w:lineRule="exact"/>
              <w:jc w:val="center"/>
              <w:rPr>
                <w:rFonts w:ascii="宋体" w:hAnsi="宋体"/>
              </w:rPr>
            </w:pPr>
          </w:p>
        </w:tc>
        <w:tc>
          <w:tcPr>
            <w:tcW w:w="1440" w:type="dxa"/>
            <w:vAlign w:val="center"/>
          </w:tcPr>
          <w:p>
            <w:pPr>
              <w:spacing w:line="500" w:lineRule="exact"/>
              <w:jc w:val="center"/>
              <w:rPr>
                <w:rFonts w:ascii="宋体" w:hAnsi="宋体"/>
              </w:rPr>
            </w:pPr>
          </w:p>
        </w:tc>
        <w:tc>
          <w:tcPr>
            <w:tcW w:w="1395" w:type="dxa"/>
            <w:vAlign w:val="center"/>
          </w:tcPr>
          <w:p>
            <w:pPr>
              <w:spacing w:line="500" w:lineRule="exact"/>
              <w:jc w:val="center"/>
              <w:rPr>
                <w:rFonts w:ascii="宋体" w:hAnsi="宋体"/>
              </w:rPr>
            </w:pPr>
          </w:p>
        </w:tc>
        <w:tc>
          <w:tcPr>
            <w:tcW w:w="1040" w:type="dxa"/>
            <w:vAlign w:val="center"/>
          </w:tcPr>
          <w:p>
            <w:pPr>
              <w:spacing w:line="500" w:lineRule="exact"/>
              <w:jc w:val="center"/>
              <w:rPr>
                <w:rFonts w:ascii="宋体" w:hAnsi="宋体"/>
              </w:rPr>
            </w:pPr>
          </w:p>
        </w:tc>
        <w:tc>
          <w:tcPr>
            <w:tcW w:w="1094" w:type="dxa"/>
          </w:tcPr>
          <w:p>
            <w:pPr>
              <w:spacing w:line="500" w:lineRule="exact"/>
              <w:jc w:val="center"/>
              <w:rPr>
                <w:rFonts w:ascii="宋体" w:hAnsi="宋体"/>
              </w:rPr>
            </w:pPr>
          </w:p>
        </w:tc>
        <w:tc>
          <w:tcPr>
            <w:tcW w:w="1760" w:type="dxa"/>
          </w:tcPr>
          <w:p>
            <w:pPr>
              <w:spacing w:line="5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644" w:type="dxa"/>
            <w:vAlign w:val="center"/>
          </w:tcPr>
          <w:p>
            <w:pPr>
              <w:spacing w:line="500" w:lineRule="exact"/>
              <w:jc w:val="center"/>
              <w:rPr>
                <w:rFonts w:ascii="宋体" w:hAnsi="宋体"/>
              </w:rPr>
            </w:pPr>
          </w:p>
        </w:tc>
        <w:tc>
          <w:tcPr>
            <w:tcW w:w="1620" w:type="dxa"/>
            <w:vAlign w:val="center"/>
          </w:tcPr>
          <w:p>
            <w:pPr>
              <w:spacing w:line="500" w:lineRule="exact"/>
              <w:jc w:val="center"/>
              <w:rPr>
                <w:rFonts w:ascii="宋体" w:hAnsi="宋体"/>
              </w:rPr>
            </w:pPr>
          </w:p>
        </w:tc>
        <w:tc>
          <w:tcPr>
            <w:tcW w:w="1440" w:type="dxa"/>
            <w:vAlign w:val="center"/>
          </w:tcPr>
          <w:p>
            <w:pPr>
              <w:spacing w:line="500" w:lineRule="exact"/>
              <w:jc w:val="center"/>
              <w:rPr>
                <w:rFonts w:ascii="宋体" w:hAnsi="宋体"/>
              </w:rPr>
            </w:pPr>
          </w:p>
        </w:tc>
        <w:tc>
          <w:tcPr>
            <w:tcW w:w="1395" w:type="dxa"/>
            <w:vAlign w:val="center"/>
          </w:tcPr>
          <w:p>
            <w:pPr>
              <w:spacing w:line="500" w:lineRule="exact"/>
              <w:jc w:val="center"/>
              <w:rPr>
                <w:rFonts w:ascii="宋体" w:hAnsi="宋体"/>
              </w:rPr>
            </w:pPr>
          </w:p>
        </w:tc>
        <w:tc>
          <w:tcPr>
            <w:tcW w:w="1040" w:type="dxa"/>
            <w:vAlign w:val="center"/>
          </w:tcPr>
          <w:p>
            <w:pPr>
              <w:spacing w:line="500" w:lineRule="exact"/>
              <w:jc w:val="center"/>
              <w:rPr>
                <w:rFonts w:ascii="宋体" w:hAnsi="宋体"/>
              </w:rPr>
            </w:pPr>
          </w:p>
        </w:tc>
        <w:tc>
          <w:tcPr>
            <w:tcW w:w="1094" w:type="dxa"/>
          </w:tcPr>
          <w:p>
            <w:pPr>
              <w:spacing w:line="500" w:lineRule="exact"/>
              <w:jc w:val="center"/>
              <w:rPr>
                <w:rFonts w:ascii="宋体" w:hAnsi="宋体"/>
              </w:rPr>
            </w:pPr>
          </w:p>
        </w:tc>
        <w:tc>
          <w:tcPr>
            <w:tcW w:w="1760" w:type="dxa"/>
          </w:tcPr>
          <w:p>
            <w:pPr>
              <w:spacing w:line="5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644" w:type="dxa"/>
            <w:vAlign w:val="center"/>
          </w:tcPr>
          <w:p>
            <w:pPr>
              <w:spacing w:line="500" w:lineRule="exact"/>
              <w:jc w:val="center"/>
              <w:rPr>
                <w:rFonts w:ascii="宋体" w:hAnsi="宋体"/>
              </w:rPr>
            </w:pPr>
          </w:p>
        </w:tc>
        <w:tc>
          <w:tcPr>
            <w:tcW w:w="1620" w:type="dxa"/>
            <w:vAlign w:val="center"/>
          </w:tcPr>
          <w:p>
            <w:pPr>
              <w:spacing w:line="500" w:lineRule="exact"/>
              <w:jc w:val="center"/>
              <w:rPr>
                <w:rFonts w:ascii="宋体" w:hAnsi="宋体"/>
              </w:rPr>
            </w:pPr>
          </w:p>
        </w:tc>
        <w:tc>
          <w:tcPr>
            <w:tcW w:w="1440" w:type="dxa"/>
            <w:vAlign w:val="center"/>
          </w:tcPr>
          <w:p>
            <w:pPr>
              <w:spacing w:line="500" w:lineRule="exact"/>
              <w:jc w:val="center"/>
              <w:rPr>
                <w:rFonts w:ascii="宋体" w:hAnsi="宋体"/>
              </w:rPr>
            </w:pPr>
          </w:p>
        </w:tc>
        <w:tc>
          <w:tcPr>
            <w:tcW w:w="1395" w:type="dxa"/>
            <w:vAlign w:val="center"/>
          </w:tcPr>
          <w:p>
            <w:pPr>
              <w:spacing w:line="500" w:lineRule="exact"/>
              <w:jc w:val="center"/>
              <w:rPr>
                <w:rFonts w:ascii="宋体" w:hAnsi="宋体"/>
              </w:rPr>
            </w:pPr>
            <w:r>
              <w:rPr>
                <w:sz w:val="21"/>
              </w:rPr>
              <w:pict>
                <v:line id="_x0000_s1028" o:spid="_x0000_s1028" o:spt="20" style="position:absolute;left:0pt;margin-left:63.8pt;margin-top:27.25pt;height:30.85pt;width:194.2pt;z-index:251659264;mso-width-relative:page;mso-height-relative:page;" fillcolor="#FFFFFF" filled="t" stroked="t" coordsize="21600,21600">
                  <v:path arrowok="t"/>
                  <v:fill type="gradient" on="t" color2="#FFFFFF" angle="90" focus="0%" focussize="0f,0f" focusposition="0f,0f">
                    <o:fill type="gradientUnscaled" v:ext="backwardCompatible"/>
                  </v:fill>
                  <v:stroke weight="1.25pt" color="#739CC3"/>
                  <v:imagedata o:title=""/>
                  <o:lock v:ext="edit" aspectratio="f"/>
                </v:line>
              </w:pict>
            </w:r>
          </w:p>
        </w:tc>
        <w:tc>
          <w:tcPr>
            <w:tcW w:w="1040" w:type="dxa"/>
            <w:vAlign w:val="center"/>
          </w:tcPr>
          <w:p>
            <w:pPr>
              <w:spacing w:line="500" w:lineRule="exact"/>
              <w:jc w:val="center"/>
              <w:rPr>
                <w:rFonts w:ascii="宋体" w:hAnsi="宋体"/>
              </w:rPr>
            </w:pPr>
          </w:p>
        </w:tc>
        <w:tc>
          <w:tcPr>
            <w:tcW w:w="1094" w:type="dxa"/>
          </w:tcPr>
          <w:p>
            <w:pPr>
              <w:spacing w:line="500" w:lineRule="exact"/>
              <w:jc w:val="center"/>
              <w:rPr>
                <w:rFonts w:ascii="宋体" w:hAnsi="宋体"/>
              </w:rPr>
            </w:pPr>
          </w:p>
        </w:tc>
        <w:tc>
          <w:tcPr>
            <w:tcW w:w="1760" w:type="dxa"/>
          </w:tcPr>
          <w:p>
            <w:pPr>
              <w:spacing w:line="5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3704" w:type="dxa"/>
            <w:gridSpan w:val="3"/>
            <w:vAlign w:val="center"/>
          </w:tcPr>
          <w:p>
            <w:pPr>
              <w:spacing w:line="500" w:lineRule="exact"/>
              <w:jc w:val="center"/>
              <w:rPr>
                <w:rFonts w:ascii="宋体" w:hAnsi="宋体"/>
              </w:rPr>
            </w:pPr>
            <w:r>
              <w:rPr>
                <w:rFonts w:hint="eastAsia" w:ascii="宋体" w:hAnsi="宋体"/>
              </w:rPr>
              <w:t>合计金额</w:t>
            </w:r>
          </w:p>
        </w:tc>
        <w:tc>
          <w:tcPr>
            <w:tcW w:w="1395" w:type="dxa"/>
            <w:vAlign w:val="center"/>
          </w:tcPr>
          <w:p>
            <w:pPr>
              <w:spacing w:line="500" w:lineRule="exact"/>
              <w:jc w:val="center"/>
              <w:rPr>
                <w:rFonts w:ascii="宋体" w:hAnsi="宋体"/>
              </w:rPr>
            </w:pPr>
          </w:p>
        </w:tc>
        <w:tc>
          <w:tcPr>
            <w:tcW w:w="3894" w:type="dxa"/>
            <w:gridSpan w:val="3"/>
          </w:tcPr>
          <w:p>
            <w:pPr>
              <w:spacing w:line="5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3704" w:type="dxa"/>
            <w:gridSpan w:val="3"/>
            <w:vAlign w:val="center"/>
          </w:tcPr>
          <w:p>
            <w:pPr>
              <w:spacing w:line="500" w:lineRule="exact"/>
              <w:jc w:val="center"/>
              <w:rPr>
                <w:rFonts w:hint="eastAsia" w:ascii="宋体" w:hAnsi="宋体"/>
              </w:rPr>
            </w:pPr>
            <w:r>
              <w:rPr>
                <w:rFonts w:hint="eastAsia" w:ascii="宋体" w:hAnsi="宋体" w:cs="宋体"/>
              </w:rPr>
              <w:t>指数化平均发行利率</w:t>
            </w:r>
          </w:p>
        </w:tc>
        <w:tc>
          <w:tcPr>
            <w:tcW w:w="1395" w:type="dxa"/>
            <w:vAlign w:val="center"/>
          </w:tcPr>
          <w:p>
            <w:pPr>
              <w:spacing w:line="500" w:lineRule="exact"/>
              <w:jc w:val="center"/>
              <w:rPr>
                <w:rFonts w:ascii="宋体" w:hAnsi="宋体"/>
              </w:rPr>
            </w:pPr>
          </w:p>
        </w:tc>
        <w:tc>
          <w:tcPr>
            <w:tcW w:w="3894" w:type="dxa"/>
            <w:gridSpan w:val="3"/>
          </w:tcPr>
          <w:p>
            <w:pPr>
              <w:spacing w:line="500" w:lineRule="exact"/>
              <w:jc w:val="center"/>
              <w:rPr>
                <w:rFonts w:ascii="宋体" w:hAnsi="宋体"/>
              </w:rPr>
            </w:pPr>
            <w:r>
              <w:rPr>
                <w:rFonts w:hint="eastAsia"/>
                <w:sz w:val="21"/>
                <w:lang w:eastAsia="zh-CN"/>
              </w:rPr>
              <w:t>说明：投标人计算的</w:t>
            </w:r>
            <w:r>
              <w:rPr>
                <w:rFonts w:hint="eastAsia" w:ascii="宋体" w:hAnsi="宋体" w:cs="宋体"/>
                <w:bCs/>
              </w:rPr>
              <w:t>指数化平均发行利率</w:t>
            </w:r>
            <w:r>
              <w:rPr>
                <w:rFonts w:hint="eastAsia" w:ascii="宋体" w:hAnsi="宋体" w:cs="宋体"/>
                <w:bCs/>
                <w:lang w:eastAsia="zh-CN"/>
              </w:rPr>
              <w:t>仅供评标委员会参考，评审时以评标委员会计算的</w:t>
            </w:r>
            <w:r>
              <w:rPr>
                <w:rFonts w:hint="eastAsia" w:ascii="宋体" w:hAnsi="宋体" w:cs="宋体"/>
                <w:bCs/>
              </w:rPr>
              <w:t>指数化平均发行利率</w:t>
            </w:r>
            <w:r>
              <w:rPr>
                <w:rFonts w:hint="eastAsia" w:ascii="宋体" w:hAnsi="宋体" w:cs="宋体"/>
                <w:bCs/>
                <w:lang w:eastAsia="zh-CN"/>
              </w:rPr>
              <w:t>为准。</w:t>
            </w:r>
            <w:r>
              <w:rPr>
                <w:rFonts w:hint="eastAsia" w:ascii="宋体" w:hAnsi="宋体" w:cs="宋体"/>
                <w:bCs/>
              </w:rPr>
              <w:t>指数化平均发行利率= ∑(单项成功业绩发行总额*实际发行利率）/   ∑ (单项成功业绩发行总额）；</w:t>
            </w:r>
          </w:p>
        </w:tc>
      </w:tr>
    </w:tbl>
    <w:p>
      <w:pPr>
        <w:spacing w:line="180" w:lineRule="atLeast"/>
        <w:ind w:right="420" w:firstLine="421"/>
        <w:rPr>
          <w:rFonts w:ascii="宋体" w:hAnsi="宋体"/>
          <w:sz w:val="24"/>
        </w:rPr>
      </w:pPr>
    </w:p>
    <w:p>
      <w:pPr>
        <w:ind w:right="420" w:firstLine="420" w:firstLineChars="200"/>
        <w:rPr>
          <w:rFonts w:ascii="宋体" w:hAnsi="宋体"/>
          <w:sz w:val="24"/>
        </w:rPr>
      </w:pPr>
      <w:r>
        <w:rPr>
          <w:rFonts w:hint="eastAsia" w:ascii="宋体" w:hAnsi="宋体"/>
        </w:rPr>
        <w:t>注：详见评审表格中的要求提供证明材料（加盖单位公章）</w:t>
      </w:r>
    </w:p>
    <w:p>
      <w:pPr>
        <w:spacing w:line="180" w:lineRule="atLeast"/>
        <w:ind w:right="420" w:firstLine="421"/>
        <w:rPr>
          <w:rFonts w:ascii="宋体" w:hAnsi="宋体"/>
          <w:sz w:val="24"/>
        </w:rPr>
      </w:pPr>
    </w:p>
    <w:p>
      <w:pPr>
        <w:spacing w:line="180" w:lineRule="atLeast"/>
        <w:ind w:right="420" w:firstLine="421"/>
        <w:rPr>
          <w:rFonts w:ascii="宋体" w:hAnsi="宋体"/>
          <w:sz w:val="24"/>
        </w:rPr>
      </w:pPr>
    </w:p>
    <w:p>
      <w:pPr>
        <w:spacing w:line="180" w:lineRule="atLeast"/>
        <w:ind w:right="420" w:firstLine="421"/>
        <w:rPr>
          <w:rFonts w:ascii="宋体" w:hAnsi="宋体"/>
          <w:sz w:val="24"/>
        </w:rPr>
      </w:pPr>
      <w:r>
        <w:rPr>
          <w:rFonts w:hint="eastAsia" w:ascii="宋体" w:hAnsi="宋体"/>
          <w:sz w:val="24"/>
        </w:rPr>
        <w:t xml:space="preserve">     投标人名称：</w:t>
      </w:r>
      <w:r>
        <w:rPr>
          <w:rFonts w:hint="eastAsia" w:ascii="宋体" w:hAnsi="宋体"/>
          <w:sz w:val="24"/>
          <w:u w:val="single"/>
        </w:rPr>
        <w:t xml:space="preserve">                         </w:t>
      </w:r>
      <w:r>
        <w:rPr>
          <w:rFonts w:hint="eastAsia" w:ascii="宋体" w:hAnsi="宋体"/>
          <w:sz w:val="24"/>
        </w:rPr>
        <w:t>（盖章）</w:t>
      </w:r>
    </w:p>
    <w:p>
      <w:pPr>
        <w:wordWrap w:val="0"/>
        <w:ind w:right="420" w:firstLine="960" w:firstLineChars="400"/>
        <w:rPr>
          <w:rFonts w:ascii="宋体" w:hAnsi="宋体"/>
          <w:sz w:val="24"/>
          <w:u w:val="single"/>
        </w:rPr>
      </w:pPr>
      <w:r>
        <w:rPr>
          <w:rFonts w:hint="eastAsia" w:ascii="宋体" w:hAnsi="宋体"/>
          <w:sz w:val="24"/>
        </w:rPr>
        <w:t>法定代表人或其授权委托人：</w:t>
      </w:r>
      <w:r>
        <w:rPr>
          <w:rFonts w:hint="eastAsia" w:ascii="宋体" w:hAnsi="宋体"/>
          <w:sz w:val="24"/>
          <w:u w:val="single"/>
        </w:rPr>
        <w:t xml:space="preserve">            </w:t>
      </w:r>
      <w:r>
        <w:rPr>
          <w:rFonts w:hint="eastAsia" w:ascii="宋体" w:hAnsi="宋体"/>
          <w:sz w:val="24"/>
        </w:rPr>
        <w:t>（签字或盖章）</w:t>
      </w:r>
    </w:p>
    <w:p>
      <w:pPr>
        <w:rPr>
          <w:rFonts w:ascii="宋体" w:hAnsi="宋体"/>
          <w:sz w:val="24"/>
        </w:rPr>
      </w:pPr>
    </w:p>
    <w:p>
      <w:pPr>
        <w:pStyle w:val="16"/>
        <w:rPr>
          <w:rFonts w:ascii="宋体" w:hAnsi="宋体" w:eastAsia="宋体" w:cs="Times New Roman"/>
          <w:kern w:val="2"/>
          <w:szCs w:val="21"/>
        </w:rPr>
      </w:pPr>
      <w:r>
        <w:rPr>
          <w:rFonts w:hint="eastAsia"/>
        </w:rPr>
        <w:t xml:space="preserve">           </w:t>
      </w:r>
      <w:r>
        <w:rPr>
          <w:rFonts w:hint="eastAsia" w:ascii="宋体" w:hAnsi="宋体" w:eastAsia="宋体" w:cs="Times New Roman"/>
          <w:kern w:val="2"/>
          <w:szCs w:val="21"/>
        </w:rPr>
        <w:t xml:space="preserve"> 年   月    日</w:t>
      </w:r>
    </w:p>
    <w:bookmarkEnd w:id="177"/>
    <w:bookmarkEnd w:id="178"/>
    <w:bookmarkEnd w:id="179"/>
    <w:bookmarkEnd w:id="180"/>
    <w:bookmarkEnd w:id="181"/>
    <w:bookmarkEnd w:id="182"/>
    <w:bookmarkEnd w:id="183"/>
    <w:p>
      <w:pPr>
        <w:spacing w:line="360" w:lineRule="auto"/>
        <w:rPr>
          <w:rFonts w:ascii="宋体" w:cs="宋体"/>
          <w:bCs/>
          <w:kern w:val="0"/>
        </w:rPr>
      </w:pPr>
    </w:p>
    <w:p>
      <w:pPr>
        <w:numPr>
          <w:ilvl w:val="0"/>
          <w:numId w:val="5"/>
        </w:numPr>
        <w:jc w:val="center"/>
        <w:rPr>
          <w:rFonts w:ascii="宋体" w:hAnsi="宋体" w:cs="宋体"/>
          <w:b/>
          <w:bCs/>
          <w:kern w:val="0"/>
          <w:sz w:val="24"/>
          <w:szCs w:val="24"/>
        </w:rPr>
      </w:pPr>
      <w:bookmarkStart w:id="184" w:name="_Toc445796139"/>
      <w:r>
        <w:rPr>
          <w:rFonts w:hint="eastAsia" w:ascii="宋体" w:hAnsi="宋体" w:cs="宋体"/>
          <w:b/>
          <w:bCs/>
          <w:kern w:val="0"/>
          <w:sz w:val="24"/>
          <w:szCs w:val="24"/>
        </w:rPr>
        <w:t>发行方案（详细叙述）</w:t>
      </w:r>
    </w:p>
    <w:p>
      <w:pPr>
        <w:rPr>
          <w:rFonts w:ascii="宋体" w:hAnsi="宋体"/>
          <w:b/>
          <w:bCs/>
          <w:sz w:val="24"/>
        </w:rPr>
      </w:pPr>
      <w:r>
        <w:rPr>
          <w:rFonts w:hint="eastAsia" w:ascii="宋体" w:hAnsi="宋体" w:cs="宋体"/>
          <w:b/>
          <w:bCs/>
          <w:kern w:val="0"/>
          <w:sz w:val="24"/>
          <w:szCs w:val="24"/>
        </w:rPr>
        <w:t>格式自拟，但</w:t>
      </w:r>
      <w:r>
        <w:rPr>
          <w:rFonts w:ascii="宋体" w:hAnsi="宋体"/>
          <w:b/>
          <w:bCs/>
          <w:kern w:val="0"/>
          <w:sz w:val="24"/>
        </w:rPr>
        <w:t>投标人须在投标文件中提供详细的承销发行方案，并至少包含</w:t>
      </w:r>
      <w:r>
        <w:rPr>
          <w:rFonts w:hint="eastAsia" w:ascii="宋体" w:hAnsi="宋体"/>
          <w:b/>
          <w:bCs/>
          <w:kern w:val="0"/>
          <w:sz w:val="24"/>
        </w:rPr>
        <w:t>以下内容</w:t>
      </w:r>
      <w:r>
        <w:rPr>
          <w:rFonts w:ascii="宋体" w:hAnsi="宋体"/>
          <w:b/>
          <w:bCs/>
          <w:kern w:val="0"/>
          <w:sz w:val="24"/>
        </w:rPr>
        <w:t>（1）工作职责，（2）</w:t>
      </w:r>
      <w:r>
        <w:rPr>
          <w:rFonts w:hint="eastAsia" w:ascii="宋体" w:hAnsi="宋体"/>
          <w:b/>
          <w:bCs/>
          <w:kern w:val="0"/>
          <w:sz w:val="24"/>
        </w:rPr>
        <w:t>项目团队配置、项目负责人及人员专业资格和工作经验等情况</w:t>
      </w:r>
      <w:r>
        <w:rPr>
          <w:rFonts w:ascii="宋体" w:hAnsi="宋体"/>
          <w:b/>
          <w:bCs/>
          <w:kern w:val="0"/>
          <w:sz w:val="24"/>
        </w:rPr>
        <w:t>（3）工作安排，（</w:t>
      </w:r>
      <w:r>
        <w:rPr>
          <w:rFonts w:hint="eastAsia" w:ascii="宋体" w:hAnsi="宋体"/>
          <w:b/>
          <w:bCs/>
          <w:kern w:val="0"/>
          <w:sz w:val="24"/>
        </w:rPr>
        <w:t>4</w:t>
      </w:r>
      <w:r>
        <w:rPr>
          <w:rFonts w:ascii="宋体" w:hAnsi="宋体"/>
          <w:b/>
          <w:bCs/>
          <w:kern w:val="0"/>
          <w:sz w:val="24"/>
        </w:rPr>
        <w:t>）债券期限，（</w:t>
      </w:r>
      <w:r>
        <w:rPr>
          <w:rFonts w:hint="eastAsia" w:ascii="宋体" w:hAnsi="宋体"/>
          <w:b/>
          <w:bCs/>
          <w:kern w:val="0"/>
          <w:sz w:val="24"/>
        </w:rPr>
        <w:t>5</w:t>
      </w:r>
      <w:r>
        <w:rPr>
          <w:rFonts w:ascii="宋体" w:hAnsi="宋体"/>
          <w:b/>
          <w:bCs/>
          <w:kern w:val="0"/>
          <w:sz w:val="24"/>
        </w:rPr>
        <w:t>）发行方案报批期限，</w:t>
      </w:r>
      <w:r>
        <w:rPr>
          <w:rFonts w:hint="eastAsia" w:ascii="宋体" w:hAnsi="宋体"/>
          <w:b/>
          <w:bCs/>
          <w:kern w:val="0"/>
          <w:sz w:val="24"/>
        </w:rPr>
        <w:t>（6）承诺批复额度，</w:t>
      </w:r>
      <w:r>
        <w:rPr>
          <w:rFonts w:ascii="宋体" w:hAnsi="宋体"/>
          <w:b/>
          <w:bCs/>
          <w:kern w:val="0"/>
          <w:sz w:val="24"/>
        </w:rPr>
        <w:t>（</w:t>
      </w:r>
      <w:r>
        <w:rPr>
          <w:rFonts w:hint="eastAsia" w:ascii="宋体" w:hAnsi="宋体"/>
          <w:b/>
          <w:bCs/>
          <w:kern w:val="0"/>
          <w:sz w:val="24"/>
        </w:rPr>
        <w:t>7</w:t>
      </w:r>
      <w:r>
        <w:rPr>
          <w:rFonts w:ascii="宋体" w:hAnsi="宋体"/>
          <w:b/>
          <w:bCs/>
          <w:kern w:val="0"/>
          <w:sz w:val="24"/>
        </w:rPr>
        <w:t>）承销期限等</w:t>
      </w:r>
      <w:r>
        <w:rPr>
          <w:rFonts w:hint="eastAsia" w:ascii="宋体" w:hAnsi="宋体"/>
          <w:b/>
          <w:bCs/>
          <w:kern w:val="0"/>
          <w:sz w:val="24"/>
        </w:rPr>
        <w:t>，</w:t>
      </w:r>
      <w:r>
        <w:rPr>
          <w:rFonts w:hint="eastAsia" w:ascii="宋体" w:hAnsi="宋体"/>
          <w:b/>
          <w:bCs/>
          <w:sz w:val="24"/>
        </w:rPr>
        <w:t>（8）销售、推广能力，（9）创新能力，（10）服务条款承诺提供信息披露、兑付等其他后续咨询服务内容（11）根据项目特点，需要考虑的其他因素</w:t>
      </w:r>
    </w:p>
    <w:p>
      <w:pPr>
        <w:spacing w:line="500" w:lineRule="exact"/>
        <w:jc w:val="left"/>
        <w:rPr>
          <w:rFonts w:ascii="宋体" w:hAnsi="宋体"/>
        </w:rPr>
      </w:pPr>
      <w:r>
        <w:rPr>
          <w:rFonts w:hint="eastAsia" w:ascii="宋体" w:hAnsi="宋体" w:cs="宋体"/>
          <w:b/>
          <w:bCs/>
        </w:rPr>
        <w:t>附表、拟派本项目项目团队配备情况表</w:t>
      </w:r>
    </w:p>
    <w:tbl>
      <w:tblPr>
        <w:tblStyle w:val="46"/>
        <w:tblW w:w="8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1549"/>
        <w:gridCol w:w="1559"/>
        <w:gridCol w:w="1701"/>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tblHeader/>
        </w:trPr>
        <w:tc>
          <w:tcPr>
            <w:tcW w:w="1678" w:type="dxa"/>
            <w:vMerge w:val="restart"/>
            <w:vAlign w:val="center"/>
          </w:tcPr>
          <w:p>
            <w:pPr>
              <w:spacing w:line="500" w:lineRule="exact"/>
              <w:jc w:val="center"/>
              <w:rPr>
                <w:rFonts w:ascii="宋体" w:hAnsi="宋体"/>
              </w:rPr>
            </w:pPr>
            <w:r>
              <w:rPr>
                <w:rFonts w:hint="eastAsia" w:ascii="宋体" w:hAnsi="宋体" w:cs="宋体"/>
              </w:rPr>
              <w:t>姓名</w:t>
            </w:r>
          </w:p>
        </w:tc>
        <w:tc>
          <w:tcPr>
            <w:tcW w:w="1549" w:type="dxa"/>
            <w:vMerge w:val="restart"/>
            <w:vAlign w:val="center"/>
          </w:tcPr>
          <w:p>
            <w:pPr>
              <w:spacing w:line="500" w:lineRule="exact"/>
              <w:jc w:val="center"/>
              <w:rPr>
                <w:rFonts w:ascii="宋体" w:hAnsi="宋体"/>
              </w:rPr>
            </w:pPr>
            <w:r>
              <w:rPr>
                <w:rFonts w:hint="eastAsia" w:ascii="宋体" w:hAnsi="宋体" w:cs="宋体"/>
              </w:rPr>
              <w:t>职称</w:t>
            </w:r>
          </w:p>
        </w:tc>
        <w:tc>
          <w:tcPr>
            <w:tcW w:w="1559" w:type="dxa"/>
            <w:vMerge w:val="restart"/>
            <w:vAlign w:val="center"/>
          </w:tcPr>
          <w:p>
            <w:pPr>
              <w:spacing w:line="500" w:lineRule="exact"/>
              <w:jc w:val="center"/>
              <w:rPr>
                <w:rFonts w:ascii="宋体" w:hAnsi="宋体"/>
              </w:rPr>
            </w:pPr>
            <w:r>
              <w:rPr>
                <w:rFonts w:hint="eastAsia" w:ascii="宋体" w:hAnsi="宋体" w:cs="宋体"/>
              </w:rPr>
              <w:t>本次具体负责分项</w:t>
            </w:r>
          </w:p>
        </w:tc>
        <w:tc>
          <w:tcPr>
            <w:tcW w:w="1701" w:type="dxa"/>
            <w:vMerge w:val="restart"/>
            <w:vAlign w:val="center"/>
          </w:tcPr>
          <w:p>
            <w:pPr>
              <w:spacing w:line="500" w:lineRule="exact"/>
              <w:jc w:val="center"/>
              <w:rPr>
                <w:rFonts w:ascii="宋体" w:hAnsi="宋体"/>
              </w:rPr>
            </w:pPr>
            <w:r>
              <w:rPr>
                <w:rFonts w:hint="eastAsia" w:ascii="宋体" w:hAnsi="宋体" w:cs="宋体"/>
              </w:rPr>
              <w:t>参与项目经历</w:t>
            </w:r>
          </w:p>
        </w:tc>
        <w:tc>
          <w:tcPr>
            <w:tcW w:w="1905" w:type="dxa"/>
            <w:vMerge w:val="restart"/>
            <w:vAlign w:val="center"/>
          </w:tcPr>
          <w:p>
            <w:pPr>
              <w:spacing w:line="500" w:lineRule="exact"/>
              <w:jc w:val="center"/>
              <w:rPr>
                <w:rFonts w:ascii="宋体" w:hAnsi="宋体"/>
              </w:rPr>
            </w:pPr>
            <w:r>
              <w:rPr>
                <w:rFonts w:hint="eastAsia" w:ascii="宋体" w:hAnsi="宋体" w:cs="宋体"/>
              </w:rPr>
              <w:t>在本项目管理或担任何种职务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tblHeader/>
        </w:trPr>
        <w:tc>
          <w:tcPr>
            <w:tcW w:w="1678" w:type="dxa"/>
            <w:vMerge w:val="continue"/>
            <w:vAlign w:val="center"/>
          </w:tcPr>
          <w:p>
            <w:pPr>
              <w:spacing w:line="500" w:lineRule="exact"/>
              <w:jc w:val="center"/>
              <w:rPr>
                <w:rFonts w:ascii="宋体" w:hAnsi="宋体"/>
              </w:rPr>
            </w:pPr>
          </w:p>
        </w:tc>
        <w:tc>
          <w:tcPr>
            <w:tcW w:w="1549" w:type="dxa"/>
            <w:vMerge w:val="continue"/>
            <w:vAlign w:val="center"/>
          </w:tcPr>
          <w:p>
            <w:pPr>
              <w:spacing w:line="500" w:lineRule="exact"/>
              <w:jc w:val="center"/>
              <w:rPr>
                <w:rFonts w:ascii="宋体" w:hAnsi="宋体"/>
              </w:rPr>
            </w:pPr>
          </w:p>
        </w:tc>
        <w:tc>
          <w:tcPr>
            <w:tcW w:w="1559" w:type="dxa"/>
            <w:vMerge w:val="continue"/>
            <w:vAlign w:val="center"/>
          </w:tcPr>
          <w:p>
            <w:pPr>
              <w:spacing w:line="500" w:lineRule="exact"/>
              <w:jc w:val="left"/>
              <w:rPr>
                <w:rFonts w:ascii="宋体" w:hAnsi="宋体"/>
              </w:rPr>
            </w:pPr>
          </w:p>
        </w:tc>
        <w:tc>
          <w:tcPr>
            <w:tcW w:w="1701" w:type="dxa"/>
            <w:vMerge w:val="continue"/>
            <w:vAlign w:val="center"/>
          </w:tcPr>
          <w:p>
            <w:pPr>
              <w:spacing w:line="500" w:lineRule="exact"/>
              <w:jc w:val="left"/>
              <w:rPr>
                <w:rFonts w:ascii="宋体" w:hAnsi="宋体"/>
              </w:rPr>
            </w:pPr>
          </w:p>
        </w:tc>
        <w:tc>
          <w:tcPr>
            <w:tcW w:w="1905" w:type="dxa"/>
            <w:vMerge w:val="continue"/>
            <w:vAlign w:val="center"/>
          </w:tcPr>
          <w:p>
            <w:pPr>
              <w:spacing w:line="5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678" w:type="dxa"/>
            <w:vAlign w:val="center"/>
          </w:tcPr>
          <w:p>
            <w:pPr>
              <w:spacing w:line="500" w:lineRule="exact"/>
              <w:jc w:val="center"/>
              <w:rPr>
                <w:rFonts w:ascii="宋体" w:hAnsi="宋体"/>
              </w:rPr>
            </w:pPr>
          </w:p>
        </w:tc>
        <w:tc>
          <w:tcPr>
            <w:tcW w:w="1549" w:type="dxa"/>
            <w:vAlign w:val="center"/>
          </w:tcPr>
          <w:p>
            <w:pPr>
              <w:spacing w:line="500" w:lineRule="exact"/>
              <w:jc w:val="center"/>
              <w:rPr>
                <w:rFonts w:ascii="宋体" w:hAnsi="宋体"/>
              </w:rPr>
            </w:pPr>
          </w:p>
        </w:tc>
        <w:tc>
          <w:tcPr>
            <w:tcW w:w="1559" w:type="dxa"/>
            <w:vAlign w:val="center"/>
          </w:tcPr>
          <w:p>
            <w:pPr>
              <w:spacing w:line="500" w:lineRule="exact"/>
              <w:rPr>
                <w:rFonts w:ascii="宋体" w:hAnsi="宋体"/>
              </w:rPr>
            </w:pPr>
          </w:p>
        </w:tc>
        <w:tc>
          <w:tcPr>
            <w:tcW w:w="1701" w:type="dxa"/>
            <w:vAlign w:val="center"/>
          </w:tcPr>
          <w:p>
            <w:pPr>
              <w:spacing w:line="500" w:lineRule="exact"/>
              <w:rPr>
                <w:rFonts w:ascii="宋体" w:hAnsi="宋体"/>
              </w:rPr>
            </w:pPr>
          </w:p>
        </w:tc>
        <w:tc>
          <w:tcPr>
            <w:tcW w:w="1905" w:type="dxa"/>
            <w:vAlign w:val="center"/>
          </w:tcPr>
          <w:p>
            <w:pPr>
              <w:spacing w:line="5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678" w:type="dxa"/>
            <w:vAlign w:val="center"/>
          </w:tcPr>
          <w:p>
            <w:pPr>
              <w:spacing w:line="500" w:lineRule="exact"/>
              <w:jc w:val="center"/>
              <w:rPr>
                <w:rFonts w:ascii="宋体" w:hAnsi="宋体"/>
              </w:rPr>
            </w:pPr>
          </w:p>
        </w:tc>
        <w:tc>
          <w:tcPr>
            <w:tcW w:w="1549" w:type="dxa"/>
            <w:vAlign w:val="center"/>
          </w:tcPr>
          <w:p>
            <w:pPr>
              <w:spacing w:line="500" w:lineRule="exact"/>
              <w:jc w:val="center"/>
              <w:rPr>
                <w:rFonts w:ascii="宋体" w:hAnsi="宋体"/>
              </w:rPr>
            </w:pPr>
          </w:p>
        </w:tc>
        <w:tc>
          <w:tcPr>
            <w:tcW w:w="1559" w:type="dxa"/>
            <w:vAlign w:val="center"/>
          </w:tcPr>
          <w:p>
            <w:pPr>
              <w:spacing w:line="500" w:lineRule="exact"/>
              <w:rPr>
                <w:rFonts w:ascii="宋体" w:hAnsi="宋体"/>
              </w:rPr>
            </w:pPr>
          </w:p>
        </w:tc>
        <w:tc>
          <w:tcPr>
            <w:tcW w:w="1701" w:type="dxa"/>
            <w:vAlign w:val="center"/>
          </w:tcPr>
          <w:p>
            <w:pPr>
              <w:spacing w:line="500" w:lineRule="exact"/>
              <w:rPr>
                <w:rFonts w:ascii="宋体" w:hAnsi="宋体"/>
              </w:rPr>
            </w:pPr>
          </w:p>
        </w:tc>
        <w:tc>
          <w:tcPr>
            <w:tcW w:w="1905" w:type="dxa"/>
            <w:vAlign w:val="center"/>
          </w:tcPr>
          <w:p>
            <w:pPr>
              <w:spacing w:line="5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678" w:type="dxa"/>
            <w:vAlign w:val="center"/>
          </w:tcPr>
          <w:p>
            <w:pPr>
              <w:spacing w:line="500" w:lineRule="exact"/>
              <w:jc w:val="center"/>
              <w:rPr>
                <w:rFonts w:ascii="宋体" w:hAnsi="宋体"/>
              </w:rPr>
            </w:pPr>
          </w:p>
        </w:tc>
        <w:tc>
          <w:tcPr>
            <w:tcW w:w="1549" w:type="dxa"/>
            <w:vAlign w:val="center"/>
          </w:tcPr>
          <w:p>
            <w:pPr>
              <w:spacing w:line="500" w:lineRule="exact"/>
              <w:jc w:val="center"/>
              <w:rPr>
                <w:rFonts w:ascii="宋体" w:hAnsi="宋体"/>
              </w:rPr>
            </w:pPr>
          </w:p>
        </w:tc>
        <w:tc>
          <w:tcPr>
            <w:tcW w:w="1559" w:type="dxa"/>
            <w:vAlign w:val="center"/>
          </w:tcPr>
          <w:p>
            <w:pPr>
              <w:spacing w:line="500" w:lineRule="exact"/>
              <w:rPr>
                <w:rFonts w:ascii="宋体" w:hAnsi="宋体"/>
              </w:rPr>
            </w:pPr>
          </w:p>
        </w:tc>
        <w:tc>
          <w:tcPr>
            <w:tcW w:w="1701" w:type="dxa"/>
            <w:vAlign w:val="center"/>
          </w:tcPr>
          <w:p>
            <w:pPr>
              <w:spacing w:line="500" w:lineRule="exact"/>
              <w:rPr>
                <w:rFonts w:ascii="宋体" w:hAnsi="宋体"/>
              </w:rPr>
            </w:pPr>
          </w:p>
        </w:tc>
        <w:tc>
          <w:tcPr>
            <w:tcW w:w="1905" w:type="dxa"/>
            <w:vAlign w:val="center"/>
          </w:tcPr>
          <w:p>
            <w:pPr>
              <w:spacing w:line="5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678" w:type="dxa"/>
            <w:vAlign w:val="center"/>
          </w:tcPr>
          <w:p>
            <w:pPr>
              <w:spacing w:line="500" w:lineRule="exact"/>
              <w:jc w:val="center"/>
              <w:rPr>
                <w:rFonts w:ascii="宋体" w:hAnsi="宋体"/>
              </w:rPr>
            </w:pPr>
          </w:p>
        </w:tc>
        <w:tc>
          <w:tcPr>
            <w:tcW w:w="1549" w:type="dxa"/>
            <w:vAlign w:val="center"/>
          </w:tcPr>
          <w:p>
            <w:pPr>
              <w:spacing w:line="500" w:lineRule="exact"/>
              <w:jc w:val="center"/>
              <w:rPr>
                <w:rFonts w:ascii="宋体" w:hAnsi="宋体"/>
              </w:rPr>
            </w:pPr>
          </w:p>
        </w:tc>
        <w:tc>
          <w:tcPr>
            <w:tcW w:w="1559" w:type="dxa"/>
            <w:vAlign w:val="center"/>
          </w:tcPr>
          <w:p>
            <w:pPr>
              <w:spacing w:line="500" w:lineRule="exact"/>
              <w:rPr>
                <w:rFonts w:ascii="宋体" w:hAnsi="宋体"/>
              </w:rPr>
            </w:pPr>
          </w:p>
        </w:tc>
        <w:tc>
          <w:tcPr>
            <w:tcW w:w="1701" w:type="dxa"/>
            <w:vAlign w:val="center"/>
          </w:tcPr>
          <w:p>
            <w:pPr>
              <w:spacing w:line="500" w:lineRule="exact"/>
              <w:rPr>
                <w:rFonts w:ascii="宋体" w:hAnsi="宋体"/>
              </w:rPr>
            </w:pPr>
          </w:p>
        </w:tc>
        <w:tc>
          <w:tcPr>
            <w:tcW w:w="1905" w:type="dxa"/>
            <w:vAlign w:val="center"/>
          </w:tcPr>
          <w:p>
            <w:pPr>
              <w:spacing w:line="5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678" w:type="dxa"/>
            <w:vAlign w:val="center"/>
          </w:tcPr>
          <w:p>
            <w:pPr>
              <w:spacing w:line="500" w:lineRule="exact"/>
              <w:jc w:val="center"/>
              <w:rPr>
                <w:rFonts w:ascii="宋体" w:hAnsi="宋体"/>
              </w:rPr>
            </w:pPr>
          </w:p>
        </w:tc>
        <w:tc>
          <w:tcPr>
            <w:tcW w:w="1549" w:type="dxa"/>
            <w:vAlign w:val="center"/>
          </w:tcPr>
          <w:p>
            <w:pPr>
              <w:spacing w:line="500" w:lineRule="exact"/>
              <w:jc w:val="center"/>
              <w:rPr>
                <w:rFonts w:ascii="宋体" w:hAnsi="宋体"/>
              </w:rPr>
            </w:pPr>
          </w:p>
        </w:tc>
        <w:tc>
          <w:tcPr>
            <w:tcW w:w="1559" w:type="dxa"/>
            <w:vAlign w:val="center"/>
          </w:tcPr>
          <w:p>
            <w:pPr>
              <w:spacing w:line="500" w:lineRule="exact"/>
              <w:rPr>
                <w:rFonts w:ascii="宋体" w:hAnsi="宋体"/>
              </w:rPr>
            </w:pPr>
          </w:p>
        </w:tc>
        <w:tc>
          <w:tcPr>
            <w:tcW w:w="1701" w:type="dxa"/>
            <w:vAlign w:val="center"/>
          </w:tcPr>
          <w:p>
            <w:pPr>
              <w:spacing w:line="500" w:lineRule="exact"/>
              <w:rPr>
                <w:rFonts w:ascii="宋体" w:hAnsi="宋体"/>
              </w:rPr>
            </w:pPr>
          </w:p>
        </w:tc>
        <w:tc>
          <w:tcPr>
            <w:tcW w:w="1905" w:type="dxa"/>
            <w:vAlign w:val="center"/>
          </w:tcPr>
          <w:p>
            <w:pPr>
              <w:spacing w:line="500" w:lineRule="exact"/>
              <w:jc w:val="center"/>
              <w:rPr>
                <w:rFonts w:ascii="宋体" w:hAnsi="宋体"/>
              </w:rPr>
            </w:pPr>
          </w:p>
        </w:tc>
      </w:tr>
    </w:tbl>
    <w:p>
      <w:pPr>
        <w:spacing w:line="500" w:lineRule="exact"/>
        <w:rPr>
          <w:rFonts w:ascii="宋体" w:hAnsi="宋体"/>
        </w:rPr>
      </w:pPr>
      <w:r>
        <w:rPr>
          <w:rFonts w:hint="eastAsia" w:ascii="宋体" w:hAnsi="宋体" w:cs="宋体"/>
        </w:rPr>
        <w:t>投标人：</w:t>
      </w:r>
      <w:r>
        <w:rPr>
          <w:rFonts w:hint="eastAsia" w:ascii="宋体" w:hAnsi="宋体" w:cs="宋体"/>
          <w:u w:val="single"/>
        </w:rPr>
        <w:t xml:space="preserve">                               </w:t>
      </w:r>
      <w:r>
        <w:rPr>
          <w:rFonts w:hint="eastAsia" w:ascii="宋体" w:hAnsi="宋体" w:cs="宋体"/>
        </w:rPr>
        <w:t>（盖章）</w:t>
      </w:r>
    </w:p>
    <w:p>
      <w:pPr>
        <w:spacing w:line="500" w:lineRule="exact"/>
        <w:rPr>
          <w:rFonts w:ascii="宋体" w:hAnsi="宋体"/>
        </w:rPr>
      </w:pPr>
      <w:r>
        <w:rPr>
          <w:rFonts w:hint="eastAsia" w:ascii="宋体" w:hAnsi="宋体" w:cs="宋体"/>
        </w:rPr>
        <w:t>法定代表人或其委托代理人：</w:t>
      </w:r>
      <w:r>
        <w:rPr>
          <w:rFonts w:hint="eastAsia" w:ascii="宋体" w:hAnsi="宋体" w:cs="宋体"/>
          <w:u w:val="single"/>
        </w:rPr>
        <w:t xml:space="preserve">                        </w:t>
      </w:r>
      <w:r>
        <w:rPr>
          <w:rFonts w:ascii="宋体" w:hAnsi="宋体" w:cs="宋体"/>
        </w:rPr>
        <w:t xml:space="preserve"> </w:t>
      </w:r>
      <w:r>
        <w:rPr>
          <w:rFonts w:hint="eastAsia" w:ascii="宋体" w:hAnsi="宋体" w:cs="宋体"/>
        </w:rPr>
        <w:t>（签字或盖章）</w:t>
      </w:r>
    </w:p>
    <w:p>
      <w:pPr>
        <w:spacing w:line="500" w:lineRule="exact"/>
        <w:rPr>
          <w:rFonts w:ascii="宋体" w:hAnsi="宋体"/>
          <w:b/>
          <w:bCs/>
          <w:sz w:val="24"/>
          <w:highlight w:val="yellow"/>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pPr>
        <w:pStyle w:val="117"/>
        <w:jc w:val="both"/>
        <w:rPr>
          <w:b/>
          <w:bCs/>
        </w:rPr>
      </w:pPr>
      <w:r>
        <w:rPr>
          <w:rFonts w:hint="eastAsia"/>
          <w:b/>
          <w:bCs/>
        </w:rPr>
        <w:t xml:space="preserve">                        </w:t>
      </w:r>
    </w:p>
    <w:p>
      <w:pPr>
        <w:pStyle w:val="117"/>
        <w:jc w:val="both"/>
        <w:rPr>
          <w:b/>
          <w:bCs/>
        </w:rPr>
      </w:pPr>
    </w:p>
    <w:p>
      <w:pPr>
        <w:pStyle w:val="117"/>
        <w:jc w:val="both"/>
        <w:rPr>
          <w:b/>
          <w:bCs/>
        </w:rPr>
      </w:pPr>
    </w:p>
    <w:p>
      <w:pPr>
        <w:pStyle w:val="117"/>
        <w:jc w:val="both"/>
        <w:rPr>
          <w:b/>
          <w:bCs/>
        </w:rPr>
      </w:pPr>
    </w:p>
    <w:p>
      <w:pPr>
        <w:pStyle w:val="117"/>
        <w:jc w:val="both"/>
        <w:rPr>
          <w:b/>
          <w:bCs/>
        </w:rPr>
      </w:pPr>
    </w:p>
    <w:p>
      <w:pPr>
        <w:pStyle w:val="117"/>
        <w:jc w:val="both"/>
        <w:rPr>
          <w:b/>
          <w:bCs/>
        </w:rPr>
      </w:pPr>
    </w:p>
    <w:p>
      <w:pPr>
        <w:pStyle w:val="117"/>
        <w:jc w:val="both"/>
        <w:rPr>
          <w:b/>
          <w:bCs/>
        </w:rPr>
      </w:pPr>
    </w:p>
    <w:p>
      <w:pPr>
        <w:pStyle w:val="117"/>
        <w:jc w:val="both"/>
        <w:rPr>
          <w:b/>
          <w:bCs/>
        </w:rPr>
      </w:pPr>
    </w:p>
    <w:p>
      <w:pPr>
        <w:pStyle w:val="117"/>
        <w:jc w:val="both"/>
        <w:rPr>
          <w:b/>
          <w:bCs/>
        </w:rPr>
      </w:pPr>
    </w:p>
    <w:p>
      <w:pPr>
        <w:pStyle w:val="117"/>
        <w:jc w:val="both"/>
        <w:rPr>
          <w:b/>
          <w:bCs/>
        </w:rPr>
      </w:pPr>
      <w:r>
        <w:rPr>
          <w:rFonts w:hint="eastAsia"/>
          <w:b/>
          <w:bCs/>
        </w:rPr>
        <w:t>8.资格及综合评审所需的其他证明文件</w:t>
      </w:r>
    </w:p>
    <w:p>
      <w:pPr>
        <w:pStyle w:val="117"/>
        <w:rPr>
          <w:b/>
          <w:bCs/>
        </w:rPr>
      </w:pPr>
    </w:p>
    <w:p>
      <w:pPr>
        <w:pStyle w:val="117"/>
        <w:rPr>
          <w:b/>
          <w:bCs/>
        </w:rPr>
      </w:pPr>
    </w:p>
    <w:p>
      <w:pPr>
        <w:pStyle w:val="117"/>
        <w:rPr>
          <w:b/>
          <w:bCs/>
        </w:rPr>
      </w:pPr>
    </w:p>
    <w:p>
      <w:pPr>
        <w:pStyle w:val="117"/>
        <w:rPr>
          <w:b/>
          <w:bCs/>
        </w:rPr>
      </w:pPr>
    </w:p>
    <w:p>
      <w:pPr>
        <w:pStyle w:val="117"/>
        <w:rPr>
          <w:b/>
          <w:bCs/>
        </w:rPr>
      </w:pPr>
    </w:p>
    <w:p>
      <w:pPr>
        <w:pStyle w:val="117"/>
        <w:rPr>
          <w:b/>
          <w:bCs/>
        </w:rPr>
      </w:pPr>
    </w:p>
    <w:p>
      <w:pPr>
        <w:pStyle w:val="117"/>
        <w:rPr>
          <w:b/>
          <w:bCs/>
        </w:rPr>
      </w:pPr>
    </w:p>
    <w:p>
      <w:pPr>
        <w:pStyle w:val="117"/>
        <w:rPr>
          <w:b/>
          <w:bCs/>
        </w:rPr>
      </w:pPr>
    </w:p>
    <w:p>
      <w:pPr>
        <w:pStyle w:val="117"/>
        <w:rPr>
          <w:b/>
          <w:bCs/>
        </w:rPr>
      </w:pPr>
    </w:p>
    <w:p>
      <w:pPr>
        <w:pStyle w:val="117"/>
        <w:rPr>
          <w:b/>
          <w:bCs/>
        </w:rPr>
      </w:pPr>
    </w:p>
    <w:p>
      <w:pPr>
        <w:pStyle w:val="117"/>
        <w:rPr>
          <w:b/>
          <w:bCs/>
        </w:rPr>
      </w:pPr>
    </w:p>
    <w:p>
      <w:pPr>
        <w:pStyle w:val="117"/>
        <w:rPr>
          <w:b/>
          <w:bCs/>
        </w:rPr>
      </w:pPr>
    </w:p>
    <w:p>
      <w:pPr>
        <w:pStyle w:val="117"/>
        <w:rPr>
          <w:b/>
          <w:bCs/>
        </w:rPr>
      </w:pPr>
    </w:p>
    <w:p>
      <w:pPr>
        <w:pStyle w:val="117"/>
        <w:rPr>
          <w:b/>
          <w:bCs/>
        </w:rPr>
      </w:pPr>
    </w:p>
    <w:p>
      <w:pPr>
        <w:pStyle w:val="117"/>
        <w:rPr>
          <w:b/>
          <w:bCs/>
        </w:rPr>
      </w:pPr>
    </w:p>
    <w:p>
      <w:pPr>
        <w:pStyle w:val="117"/>
        <w:rPr>
          <w:b/>
          <w:bCs/>
        </w:rPr>
      </w:pPr>
    </w:p>
    <w:p>
      <w:pPr>
        <w:pStyle w:val="117"/>
        <w:rPr>
          <w:b/>
          <w:bCs/>
        </w:rPr>
      </w:pPr>
    </w:p>
    <w:p>
      <w:pPr>
        <w:pStyle w:val="117"/>
        <w:rPr>
          <w:b/>
          <w:bCs/>
        </w:rPr>
      </w:pPr>
    </w:p>
    <w:p>
      <w:pPr>
        <w:pStyle w:val="117"/>
        <w:rPr>
          <w:b/>
          <w:bCs/>
        </w:rPr>
      </w:pPr>
    </w:p>
    <w:p>
      <w:pPr>
        <w:pStyle w:val="117"/>
        <w:rPr>
          <w:b/>
          <w:bCs/>
        </w:rPr>
      </w:pPr>
    </w:p>
    <w:p>
      <w:pPr>
        <w:pStyle w:val="117"/>
        <w:rPr>
          <w:b/>
          <w:bCs/>
        </w:rPr>
      </w:pPr>
    </w:p>
    <w:p>
      <w:pPr>
        <w:pStyle w:val="117"/>
        <w:rPr>
          <w:b/>
          <w:bCs/>
        </w:rPr>
      </w:pPr>
    </w:p>
    <w:p>
      <w:pPr>
        <w:pStyle w:val="117"/>
        <w:rPr>
          <w:b/>
          <w:bCs/>
        </w:rPr>
      </w:pPr>
    </w:p>
    <w:p>
      <w:pPr>
        <w:pStyle w:val="117"/>
        <w:rPr>
          <w:b/>
          <w:bCs/>
        </w:rPr>
      </w:pPr>
      <w:r>
        <w:rPr>
          <w:rFonts w:hint="eastAsia"/>
          <w:b/>
          <w:bCs/>
        </w:rPr>
        <w:t>9.投标人</w:t>
      </w:r>
      <w:bookmarkEnd w:id="184"/>
      <w:r>
        <w:rPr>
          <w:rFonts w:hint="eastAsia"/>
          <w:b/>
          <w:bCs/>
        </w:rPr>
        <w:t>认为须要提供的其他资料</w:t>
      </w:r>
    </w:p>
    <w:p>
      <w:pPr>
        <w:pStyle w:val="117"/>
        <w:jc w:val="both"/>
        <w:rPr>
          <w:b/>
          <w:bCs/>
        </w:rPr>
      </w:pPr>
    </w:p>
    <w:p>
      <w:pPr>
        <w:pStyle w:val="117"/>
        <w:jc w:val="both"/>
        <w:rPr>
          <w:b/>
          <w:bCs/>
        </w:rPr>
      </w:pPr>
    </w:p>
    <w:p>
      <w:pPr>
        <w:pStyle w:val="117"/>
        <w:jc w:val="both"/>
        <w:rPr>
          <w:b/>
          <w:bCs/>
        </w:rPr>
      </w:pPr>
    </w:p>
    <w:p>
      <w:pPr>
        <w:pStyle w:val="117"/>
        <w:jc w:val="both"/>
        <w:rPr>
          <w:b/>
          <w:bCs/>
        </w:rPr>
      </w:pPr>
    </w:p>
    <w:p>
      <w:pPr>
        <w:pStyle w:val="117"/>
        <w:jc w:val="both"/>
        <w:rPr>
          <w:b/>
          <w:bCs/>
        </w:rPr>
      </w:pPr>
    </w:p>
    <w:p>
      <w:pPr>
        <w:pStyle w:val="117"/>
        <w:jc w:val="both"/>
        <w:rPr>
          <w:b/>
          <w:bCs/>
        </w:rPr>
      </w:pPr>
    </w:p>
    <w:p>
      <w:pPr>
        <w:pStyle w:val="117"/>
        <w:jc w:val="both"/>
        <w:rPr>
          <w:b/>
          <w:bCs/>
        </w:rPr>
      </w:pPr>
    </w:p>
    <w:p>
      <w:pPr>
        <w:pStyle w:val="117"/>
        <w:jc w:val="both"/>
        <w:rPr>
          <w:b/>
          <w:bCs/>
        </w:rPr>
      </w:pPr>
    </w:p>
    <w:p>
      <w:pPr>
        <w:pStyle w:val="117"/>
        <w:jc w:val="both"/>
        <w:rPr>
          <w:b/>
          <w:bCs/>
        </w:rPr>
      </w:pPr>
    </w:p>
    <w:p>
      <w:pPr>
        <w:pStyle w:val="117"/>
        <w:jc w:val="both"/>
        <w:rPr>
          <w:b/>
          <w:bCs/>
        </w:rPr>
      </w:pPr>
    </w:p>
    <w:p>
      <w:pPr>
        <w:pStyle w:val="117"/>
        <w:jc w:val="both"/>
        <w:rPr>
          <w:b/>
          <w:bCs/>
        </w:rPr>
      </w:pPr>
    </w:p>
    <w:p>
      <w:pPr>
        <w:pStyle w:val="117"/>
        <w:jc w:val="both"/>
        <w:rPr>
          <w:b/>
          <w:bCs/>
        </w:rPr>
      </w:pPr>
    </w:p>
    <w:p>
      <w:pPr>
        <w:pStyle w:val="117"/>
        <w:jc w:val="both"/>
        <w:rPr>
          <w:b/>
          <w:bCs/>
        </w:rPr>
      </w:pPr>
    </w:p>
    <w:p>
      <w:pPr>
        <w:pStyle w:val="117"/>
        <w:jc w:val="both"/>
        <w:rPr>
          <w:b/>
          <w:bCs/>
        </w:rPr>
      </w:pPr>
    </w:p>
    <w:p>
      <w:pPr>
        <w:pStyle w:val="117"/>
        <w:jc w:val="both"/>
        <w:rPr>
          <w:b/>
          <w:bCs/>
        </w:rPr>
      </w:pPr>
    </w:p>
    <w:p>
      <w:pPr>
        <w:pStyle w:val="117"/>
        <w:jc w:val="both"/>
        <w:rPr>
          <w:b/>
          <w:bCs/>
        </w:rPr>
      </w:pPr>
    </w:p>
    <w:p>
      <w:pPr>
        <w:pStyle w:val="117"/>
        <w:jc w:val="both"/>
        <w:rPr>
          <w:b/>
          <w:bCs/>
        </w:rPr>
      </w:pPr>
    </w:p>
    <w:p>
      <w:pPr>
        <w:pStyle w:val="117"/>
        <w:jc w:val="both"/>
        <w:rPr>
          <w:b/>
          <w:bCs/>
        </w:rPr>
      </w:pPr>
    </w:p>
    <w:p>
      <w:pPr>
        <w:pStyle w:val="117"/>
        <w:jc w:val="both"/>
        <w:rPr>
          <w:b/>
          <w:bCs/>
        </w:rPr>
      </w:pPr>
    </w:p>
    <w:p>
      <w:pPr>
        <w:pStyle w:val="117"/>
        <w:jc w:val="both"/>
        <w:rPr>
          <w:b/>
          <w:bCs/>
        </w:rPr>
      </w:pPr>
    </w:p>
    <w:p>
      <w:pPr>
        <w:pStyle w:val="117"/>
        <w:jc w:val="both"/>
        <w:rPr>
          <w:b/>
          <w:bCs/>
        </w:rPr>
      </w:pPr>
    </w:p>
    <w:p>
      <w:pPr>
        <w:pStyle w:val="117"/>
        <w:jc w:val="both"/>
        <w:rPr>
          <w:b/>
          <w:bCs/>
        </w:rPr>
      </w:pPr>
    </w:p>
    <w:p>
      <w:pPr>
        <w:spacing w:before="100" w:after="100" w:line="560" w:lineRule="exact"/>
        <w:jc w:val="center"/>
        <w:rPr>
          <w:rFonts w:ascii="宋体"/>
          <w:sz w:val="28"/>
          <w:szCs w:val="28"/>
        </w:rPr>
      </w:pPr>
      <w:permStart w:id="12" w:edGrp="everyone"/>
      <w:r>
        <w:rPr>
          <w:rFonts w:hint="eastAsia" w:ascii="宋体"/>
          <w:b/>
          <w:sz w:val="24"/>
        </w:rPr>
        <w:t>招标人、招标代理机构意见</w:t>
      </w:r>
    </w:p>
    <w:tbl>
      <w:tblPr>
        <w:tblStyle w:val="46"/>
        <w:tblW w:w="870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8" w:hRule="atLeast"/>
        </w:trPr>
        <w:tc>
          <w:tcPr>
            <w:tcW w:w="8700" w:type="dxa"/>
            <w:tcBorders>
              <w:top w:val="single" w:color="auto" w:sz="4" w:space="0"/>
              <w:left w:val="single" w:color="auto" w:sz="4" w:space="0"/>
              <w:bottom w:val="single" w:color="auto" w:sz="4" w:space="0"/>
              <w:right w:val="single" w:color="auto" w:sz="4" w:space="0"/>
            </w:tcBorders>
          </w:tcPr>
          <w:p>
            <w:pPr>
              <w:rPr>
                <w:rFonts w:ascii="宋体" w:cs="宋体"/>
                <w:bCs/>
                <w:shd w:val="clear" w:color="FFFFFF" w:fill="D9D9D9"/>
              </w:rPr>
            </w:pPr>
            <w:r>
              <w:rPr>
                <w:rFonts w:hint="eastAsia" w:ascii="宋体"/>
                <w:shd w:val="clear" w:color="FFFFFF" w:fill="D9D9D9"/>
              </w:rPr>
              <w:t>项目名称：</w:t>
            </w:r>
            <w:r>
              <w:rPr>
                <w:rFonts w:hint="eastAsia" w:ascii="宋体"/>
                <w:b/>
                <w:u w:val="single"/>
                <w:shd w:val="clear" w:color="FFFFFF" w:fill="D9D9D9"/>
              </w:rPr>
              <w:t xml:space="preserve"> 阜阳交通能源投资有限公司发行发行公司债券主承销商项目     </w:t>
            </w:r>
            <w:r>
              <w:rPr>
                <w:rFonts w:hint="eastAsia" w:ascii="宋体"/>
                <w:shd w:val="clear" w:color="FFFFFF" w:fill="D9D9D9"/>
              </w:rPr>
              <w:t xml:space="preserve"> </w:t>
            </w:r>
          </w:p>
          <w:p>
            <w:pPr>
              <w:spacing w:line="500" w:lineRule="exact"/>
              <w:rPr>
                <w:rFonts w:ascii="宋体" w:hAnsi="宋体" w:cs="宋体"/>
              </w:rPr>
            </w:pPr>
            <w:r>
              <w:rPr>
                <w:rFonts w:hint="eastAsia" w:ascii="宋体" w:hAnsi="宋体" w:cs="宋体"/>
              </w:rPr>
              <w:t>项目编号：</w:t>
            </w:r>
            <w:r>
              <w:rPr>
                <w:rFonts w:hint="eastAsia" w:ascii="宋体" w:hAnsi="宋体" w:cs="宋体"/>
                <w:b/>
                <w:bCs/>
              </w:rPr>
              <w:t>ZDYRFY-2017008</w:t>
            </w:r>
            <w:r>
              <w:rPr>
                <w:rFonts w:hint="eastAsia" w:ascii="宋体" w:hAnsi="宋体" w:cs="宋体"/>
              </w:rPr>
              <w:t xml:space="preserve">                 </w:t>
            </w:r>
          </w:p>
          <w:p>
            <w:pPr>
              <w:spacing w:line="500" w:lineRule="exact"/>
              <w:rPr>
                <w:rFonts w:ascii="宋体" w:hAnsi="宋体" w:cs="宋体"/>
              </w:rPr>
            </w:pPr>
            <w:r>
              <w:rPr>
                <w:rFonts w:hint="eastAsia" w:ascii="宋体" w:hAnsi="宋体" w:cs="宋体"/>
              </w:rPr>
              <w:t>本项目的招标工作及招标文件，我们确认。</w:t>
            </w:r>
          </w:p>
          <w:p>
            <w:pPr>
              <w:spacing w:line="500" w:lineRule="exact"/>
              <w:rPr>
                <w:rFonts w:ascii="宋体" w:hAnsi="宋体" w:cs="宋体"/>
              </w:rPr>
            </w:pPr>
            <w:r>
              <w:rPr>
                <w:rFonts w:hint="eastAsia" w:ascii="宋体" w:hAnsi="宋体" w:cs="宋体"/>
              </w:rPr>
              <w:t xml:space="preserve">招标人：阜阳交通能源投资有限公司  </w:t>
            </w:r>
          </w:p>
          <w:p>
            <w:pPr>
              <w:spacing w:line="500" w:lineRule="exact"/>
              <w:rPr>
                <w:rFonts w:ascii="宋体" w:hAnsi="宋体" w:cs="宋体"/>
              </w:rPr>
            </w:pPr>
            <w:r>
              <w:rPr>
                <w:rFonts w:hint="eastAsia" w:ascii="宋体" w:hAnsi="宋体" w:cs="宋体"/>
              </w:rPr>
              <w:t>联系人：姚经理、王经理</w:t>
            </w:r>
          </w:p>
          <w:p>
            <w:pPr>
              <w:spacing w:line="500" w:lineRule="exact"/>
              <w:rPr>
                <w:rFonts w:ascii="宋体" w:hAnsi="宋体" w:cs="宋体"/>
              </w:rPr>
            </w:pPr>
            <w:r>
              <w:rPr>
                <w:rFonts w:hint="eastAsia" w:ascii="宋体" w:hAnsi="宋体" w:cs="宋体"/>
              </w:rPr>
              <w:t>电    话：0558-3920609   0558-3920618</w:t>
            </w:r>
          </w:p>
          <w:p>
            <w:pPr>
              <w:pStyle w:val="20"/>
              <w:spacing w:line="360" w:lineRule="auto"/>
              <w:ind w:left="-422" w:right="-619" w:firstLine="5040" w:firstLineChars="2100"/>
              <w:rPr>
                <w:rFonts w:ascii="宋体"/>
                <w:kern w:val="2"/>
              </w:rPr>
            </w:pPr>
          </w:p>
          <w:p>
            <w:pPr>
              <w:pStyle w:val="20"/>
              <w:spacing w:line="360" w:lineRule="auto"/>
              <w:ind w:right="-619"/>
              <w:rPr>
                <w:rFonts w:ascii="宋体"/>
                <w:kern w:val="2"/>
              </w:rPr>
            </w:pPr>
          </w:p>
          <w:p>
            <w:pPr>
              <w:spacing w:line="300" w:lineRule="auto"/>
              <w:jc w:val="center"/>
              <w:rPr>
                <w:rFonts w:ascii="宋体"/>
              </w:rPr>
            </w:pPr>
            <w:r>
              <w:rPr>
                <w:rFonts w:hint="eastAsia" w:ascii="宋体"/>
              </w:rPr>
              <w:t xml:space="preserve">                                                       （单位盖章）</w:t>
            </w:r>
          </w:p>
          <w:p>
            <w:pPr>
              <w:spacing w:line="300" w:lineRule="auto"/>
              <w:jc w:val="left"/>
              <w:rPr>
                <w:rFonts w:ascii="宋体"/>
              </w:rPr>
            </w:pPr>
            <w:r>
              <w:rPr>
                <w:rFonts w:hint="eastAsia" w:ascii="宋体"/>
              </w:rPr>
              <w:t xml:space="preserve">                                                              2017 年</w:t>
            </w:r>
            <w:r>
              <w:rPr>
                <w:rFonts w:hint="eastAsia" w:ascii="宋体"/>
                <w:lang w:val="en-US" w:eastAsia="zh-CN"/>
              </w:rPr>
              <w:t>2</w:t>
            </w:r>
            <w:r>
              <w:rPr>
                <w:rFonts w:hint="eastAsia" w:ascii="宋体"/>
              </w:rPr>
              <w:t xml:space="preserve"> 月</w:t>
            </w:r>
            <w:r>
              <w:rPr>
                <w:rFonts w:hint="eastAsia" w:ascii="宋体"/>
                <w:lang w:val="en-US" w:eastAsia="zh-CN"/>
              </w:rPr>
              <w:t>23日</w:t>
            </w:r>
            <w:r>
              <w:rPr>
                <w:rFonts w:hint="eastAsia" w:asci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9" w:hRule="atLeast"/>
        </w:trPr>
        <w:tc>
          <w:tcPr>
            <w:tcW w:w="8700" w:type="dxa"/>
            <w:tcBorders>
              <w:top w:val="single" w:color="auto" w:sz="4" w:space="0"/>
              <w:left w:val="single" w:color="auto" w:sz="4" w:space="0"/>
              <w:bottom w:val="single" w:color="auto" w:sz="4" w:space="0"/>
              <w:right w:val="single" w:color="auto" w:sz="4" w:space="0"/>
            </w:tcBorders>
          </w:tcPr>
          <w:p>
            <w:pPr>
              <w:pStyle w:val="20"/>
              <w:spacing w:line="360" w:lineRule="auto"/>
              <w:ind w:left="-422" w:right="-619"/>
              <w:rPr>
                <w:kern w:val="2"/>
              </w:rPr>
            </w:pPr>
            <w:r>
              <w:rPr>
                <w:rFonts w:hint="eastAsia"/>
                <w:kern w:val="2"/>
              </w:rPr>
              <w:t>招</w:t>
            </w:r>
          </w:p>
          <w:p>
            <w:pPr>
              <w:pStyle w:val="20"/>
              <w:spacing w:line="360" w:lineRule="auto"/>
              <w:ind w:left="-422" w:right="-619"/>
            </w:pPr>
            <w:r>
              <w:rPr>
                <w:rFonts w:hint="eastAsia"/>
                <w:kern w:val="2"/>
              </w:rPr>
              <w:t xml:space="preserve">     </w:t>
            </w:r>
            <w:r>
              <w:rPr>
                <w:rFonts w:hint="eastAsia"/>
              </w:rPr>
              <w:t>招标代理机构：中鼎誉润工程咨询有限公司</w:t>
            </w:r>
          </w:p>
          <w:p>
            <w:pPr>
              <w:spacing w:line="420" w:lineRule="exact"/>
              <w:outlineLvl w:val="2"/>
            </w:pPr>
            <w:r>
              <w:rPr>
                <w:rFonts w:hint="eastAsia"/>
              </w:rPr>
              <w:t xml:space="preserve">  联 系 人：    刘工</w:t>
            </w:r>
          </w:p>
          <w:p>
            <w:pPr>
              <w:spacing w:line="420" w:lineRule="exact"/>
              <w:outlineLvl w:val="2"/>
            </w:pPr>
            <w:r>
              <w:rPr>
                <w:rFonts w:hint="eastAsia"/>
              </w:rPr>
              <w:t xml:space="preserve">  电    话：    18900588236</w:t>
            </w:r>
          </w:p>
          <w:p>
            <w:pPr>
              <w:pStyle w:val="20"/>
              <w:spacing w:line="360" w:lineRule="auto"/>
              <w:ind w:left="-422" w:right="-619"/>
              <w:jc w:val="both"/>
              <w:rPr>
                <w:rFonts w:ascii="宋体"/>
                <w:kern w:val="2"/>
              </w:rPr>
            </w:pPr>
          </w:p>
          <w:p>
            <w:pPr>
              <w:pStyle w:val="20"/>
              <w:spacing w:line="360" w:lineRule="auto"/>
              <w:ind w:left="101" w:leftChars="48"/>
              <w:rPr>
                <w:rFonts w:ascii="宋体"/>
                <w:kern w:val="2"/>
              </w:rPr>
            </w:pPr>
            <w:r>
              <w:rPr>
                <w:rFonts w:hint="eastAsia" w:ascii="宋体"/>
                <w:kern w:val="2"/>
              </w:rPr>
              <w:t xml:space="preserve"> </w:t>
            </w:r>
          </w:p>
          <w:p>
            <w:pPr>
              <w:pStyle w:val="20"/>
              <w:spacing w:line="360" w:lineRule="auto"/>
              <w:ind w:left="101" w:leftChars="48"/>
              <w:rPr>
                <w:rFonts w:ascii="宋体"/>
                <w:kern w:val="2"/>
              </w:rPr>
            </w:pPr>
          </w:p>
          <w:p>
            <w:pPr>
              <w:pStyle w:val="20"/>
              <w:spacing w:line="360" w:lineRule="auto"/>
              <w:ind w:left="0" w:right="-619"/>
              <w:rPr>
                <w:rFonts w:ascii="宋体"/>
                <w:kern w:val="2"/>
              </w:rPr>
            </w:pPr>
          </w:p>
          <w:p>
            <w:pPr>
              <w:spacing w:line="300" w:lineRule="auto"/>
              <w:jc w:val="center"/>
              <w:rPr>
                <w:rFonts w:ascii="宋体"/>
              </w:rPr>
            </w:pPr>
            <w:r>
              <w:rPr>
                <w:rFonts w:hint="eastAsia" w:ascii="宋体"/>
              </w:rPr>
              <w:t xml:space="preserve">                                                            （单位盖章）</w:t>
            </w:r>
          </w:p>
          <w:p>
            <w:pPr>
              <w:spacing w:line="300" w:lineRule="auto"/>
              <w:jc w:val="left"/>
              <w:rPr>
                <w:rFonts w:ascii="宋体"/>
              </w:rPr>
            </w:pPr>
            <w:r>
              <w:rPr>
                <w:rFonts w:hint="eastAsia" w:ascii="宋体"/>
              </w:rPr>
              <w:t xml:space="preserve">                                                               2017 </w:t>
            </w:r>
            <w:bookmarkStart w:id="185" w:name="_GoBack"/>
            <w:bookmarkEnd w:id="185"/>
            <w:r>
              <w:rPr>
                <w:rFonts w:hint="eastAsia" w:ascii="宋体"/>
              </w:rPr>
              <w:t xml:space="preserve">年 </w:t>
            </w:r>
            <w:r>
              <w:rPr>
                <w:rFonts w:hint="eastAsia" w:ascii="宋体"/>
                <w:lang w:val="en-US" w:eastAsia="zh-CN"/>
              </w:rPr>
              <w:t>2</w:t>
            </w:r>
            <w:r>
              <w:rPr>
                <w:rFonts w:hint="eastAsia" w:ascii="宋体"/>
              </w:rPr>
              <w:t xml:space="preserve">月 </w:t>
            </w:r>
            <w:r>
              <w:rPr>
                <w:rFonts w:hint="eastAsia" w:ascii="宋体"/>
                <w:lang w:val="en-US" w:eastAsia="zh-CN"/>
              </w:rPr>
              <w:t>23日</w:t>
            </w:r>
          </w:p>
        </w:tc>
      </w:tr>
      <w:permEnd w:id="12"/>
    </w:tbl>
    <w:p>
      <w:pPr>
        <w:pStyle w:val="117"/>
        <w:jc w:val="both"/>
        <w:rPr>
          <w:b/>
          <w:bCs/>
        </w:rPr>
      </w:pPr>
    </w:p>
    <w:sectPr>
      <w:footerReference r:id="rId10" w:type="default"/>
      <w:footerReference r:id="rId11" w:type="even"/>
      <w:pgSz w:w="11906" w:h="16838"/>
      <w:pgMar w:top="1418" w:right="1418"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Dotum">
    <w:panose1 w:val="020B0600000101010101"/>
    <w:charset w:val="81"/>
    <w:family w:val="modern"/>
    <w:pitch w:val="default"/>
    <w:sig w:usb0="B00002AF" w:usb1="69D77CFB" w:usb2="00000030" w:usb3="00000000" w:csb0="4008009F" w:csb1="DFD70000"/>
  </w:font>
  <w:font w:name="新宋体">
    <w:panose1 w:val="02010609030101010101"/>
    <w:charset w:val="86"/>
    <w:family w:val="modern"/>
    <w:pitch w:val="default"/>
    <w:sig w:usb0="00000003" w:usb1="288F0000" w:usb2="0000000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_x0000_s2056" o:spid="_x0000_s2056" o:spt="202" type="#_x0000_t202" style="position:absolute;left:0pt;margin-top:0pt;height:12.05pt;width:10.55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文本框1" o:spid="_x0000_s2055" o:spt="202" type="#_x0000_t202" style="position:absolute;left:0pt;margin-top:0pt;height:12.05pt;width:10.55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rPr>
        <w:rStyle w:val="42"/>
      </w:rPr>
    </w:pPr>
    <w:r>
      <w:pict>
        <v:line id="_x0000_s2052" o:spid="_x0000_s2052" o:spt="20" style="position:absolute;left:0pt;flip:y;margin-left:0pt;margin-top:7.1pt;height:0pt;width:702pt;z-index:251655168;mso-width-relative:page;mso-height-relative:page;" coordsize="21600,21600">
          <v:path arrowok="t"/>
          <v:fill focussize="0,0"/>
          <v:stroke weight="0.25pt"/>
          <v:imagedata o:title=""/>
          <o:lock v:ext="edit"/>
        </v:line>
      </w:pict>
    </w:r>
  </w:p>
  <w:p>
    <w:pPr>
      <w:pStyle w:val="28"/>
      <w:ind w:right="360"/>
      <w:rPr>
        <w:rFonts w:ascii="宋体" w:hAnsi="宋体"/>
      </w:rPr>
    </w:pPr>
    <w:r>
      <w:pict>
        <v:shape id="_x0000_s2058" o:spid="_x0000_s205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28"/>
                  <w:ind w:right="360"/>
                </w:pPr>
                <w:r>
                  <w:rPr>
                    <w:rStyle w:val="42"/>
                    <w:rFonts w:hint="eastAsia" w:ascii="宋体" w:hAnsi="宋体"/>
                  </w:rPr>
                  <w:t xml:space="preserve">安徽新天源建设咨询有限公司                     地址：阜阳市颍州区阜王路8号                  电话/传真：0558－2177133                                   </w:t>
                </w:r>
                <w:r>
                  <w:fldChar w:fldCharType="begin"/>
                </w:r>
                <w:r>
                  <w:rPr>
                    <w:rStyle w:val="42"/>
                  </w:rPr>
                  <w:instrText xml:space="preserve"> PAGE </w:instrText>
                </w:r>
                <w:r>
                  <w:fldChar w:fldCharType="separate"/>
                </w:r>
                <w:r>
                  <w:rPr>
                    <w:rStyle w:val="42"/>
                  </w:rPr>
                  <w:t>34</w:t>
                </w:r>
                <w:r>
                  <w:fldChar w:fldCharType="end"/>
                </w:r>
              </w:p>
            </w:txbxContent>
          </v:textbox>
        </v:shape>
      </w:pict>
    </w:r>
  </w:p>
  <w:p>
    <w:pPr>
      <w:pStyle w:val="28"/>
      <w:ind w:right="360"/>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rPr>
        <w:rStyle w:val="42"/>
      </w:rPr>
    </w:pPr>
    <w:r>
      <w:pict>
        <v:line id="_x0000_s2051" o:spid="_x0000_s2051" o:spt="20" style="position:absolute;left:0pt;flip:y;margin-left:0pt;margin-top:7.1pt;height:0pt;width:702pt;z-index:251656192;mso-width-relative:page;mso-height-relative:page;" coordsize="21600,21600">
          <v:path arrowok="t"/>
          <v:fill focussize="0,0"/>
          <v:stroke weight="0.25pt"/>
          <v:imagedata o:title=""/>
          <o:lock v:ext="edit"/>
        </v:line>
      </w:pict>
    </w:r>
  </w:p>
  <w:p>
    <w:pPr>
      <w:pStyle w:val="28"/>
      <w:ind w:right="360"/>
      <w:rPr>
        <w:rFonts w:ascii="宋体" w:hAnsi="宋体"/>
      </w:rPr>
    </w:pPr>
    <w:r>
      <w:pict>
        <v:shape id="_x0000_s2059" o:spid="_x0000_s205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pStyle w:val="28"/>
                  <w:ind w:right="360"/>
                </w:pPr>
                <w:r>
                  <w:rPr>
                    <w:rStyle w:val="42"/>
                    <w:rFonts w:hint="eastAsia" w:ascii="宋体" w:hAnsi="宋体"/>
                  </w:rPr>
                  <w:t xml:space="preserve">                               </w:t>
                </w:r>
                <w:r>
                  <w:fldChar w:fldCharType="begin"/>
                </w:r>
                <w:r>
                  <w:rPr>
                    <w:rStyle w:val="42"/>
                  </w:rPr>
                  <w:instrText xml:space="preserve"> PAGE </w:instrText>
                </w:r>
                <w:r>
                  <w:fldChar w:fldCharType="separate"/>
                </w:r>
                <w:r>
                  <w:rPr>
                    <w:rStyle w:val="42"/>
                  </w:rPr>
                  <w:t>26</w:t>
                </w:r>
                <w:r>
                  <w:fldChar w:fldCharType="end"/>
                </w:r>
              </w:p>
            </w:txbxContent>
          </v:textbox>
        </v:shape>
      </w:pict>
    </w:r>
  </w:p>
  <w:p>
    <w:pPr>
      <w:pStyle w:val="28"/>
      <w:ind w:right="360"/>
    </w:pP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_x0000_s2057" o:spid="_x0000_s2057" o:spt="202" type="#_x0000_t202" style="position:absolute;left:0pt;margin-top:7.05pt;height:12.05pt;width:10.55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33</w:t>
                </w:r>
                <w:r>
                  <w:rPr>
                    <w:rFonts w:hint="eastAsia"/>
                    <w:sz w:val="1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y="1"/>
      <w:rPr>
        <w:rStyle w:val="42"/>
      </w:rPr>
    </w:pPr>
    <w:r>
      <w:fldChar w:fldCharType="begin"/>
    </w:r>
    <w:r>
      <w:rPr>
        <w:rStyle w:val="42"/>
      </w:rPr>
      <w:instrText xml:space="preserve">PAGE  </w:instrText>
    </w:r>
    <w:r>
      <w:fldChar w:fldCharType="end"/>
    </w:r>
  </w:p>
  <w:p>
    <w:pPr>
      <w:pStyle w:val="2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rPr>
        <w:sz w:val="15"/>
        <w:szCs w:val="15"/>
      </w:rPr>
    </w:pPr>
    <w:r>
      <w:rPr>
        <w:rFonts w:hint="eastAsia" w:ascii="宋体"/>
      </w:rPr>
      <w:t xml:space="preserve">阜阳投资发展集团有限公司债券发行主承销服务项目                                                                                                     招标文件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rPr>
        <w:sz w:val="15"/>
        <w:szCs w:val="15"/>
      </w:rPr>
    </w:pPr>
    <w:r>
      <w:rPr>
        <w:rFonts w:hint="eastAsia" w:asci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A3F37"/>
    <w:multiLevelType w:val="multilevel"/>
    <w:tmpl w:val="38DA3F37"/>
    <w:lvl w:ilvl="0" w:tentative="0">
      <w:start w:val="1"/>
      <w:numFmt w:val="bullet"/>
      <w:pStyle w:val="102"/>
      <w:lvlText w:val=""/>
      <w:lvlJc w:val="left"/>
      <w:pPr>
        <w:tabs>
          <w:tab w:val="left" w:pos="480"/>
        </w:tabs>
        <w:ind w:left="480" w:hanging="480"/>
      </w:pPr>
      <w:rPr>
        <w:rFonts w:hint="default" w:ascii="Wingdings" w:hAnsi="Wingdings" w:cs="Wingdings"/>
        <w:sz w:val="16"/>
        <w:szCs w:val="16"/>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1">
    <w:nsid w:val="55126CAB"/>
    <w:multiLevelType w:val="singleLevel"/>
    <w:tmpl w:val="55126CAB"/>
    <w:lvl w:ilvl="0" w:tentative="0">
      <w:start w:val="1"/>
      <w:numFmt w:val="decimal"/>
      <w:suff w:val="nothing"/>
      <w:lvlText w:val="%1．"/>
      <w:lvlJc w:val="left"/>
      <w:pPr>
        <w:tabs>
          <w:tab w:val="left" w:pos="0"/>
        </w:tabs>
        <w:ind w:left="0" w:firstLine="0"/>
      </w:pPr>
    </w:lvl>
  </w:abstractNum>
  <w:abstractNum w:abstractNumId="2">
    <w:nsid w:val="589C49A4"/>
    <w:multiLevelType w:val="singleLevel"/>
    <w:tmpl w:val="589C49A4"/>
    <w:lvl w:ilvl="0" w:tentative="0">
      <w:start w:val="1"/>
      <w:numFmt w:val="decimal"/>
      <w:suff w:val="nothing"/>
      <w:lvlText w:val="%1、"/>
      <w:lvlJc w:val="left"/>
    </w:lvl>
  </w:abstractNum>
  <w:abstractNum w:abstractNumId="3">
    <w:nsid w:val="58A15A8C"/>
    <w:multiLevelType w:val="singleLevel"/>
    <w:tmpl w:val="58A15A8C"/>
    <w:lvl w:ilvl="0" w:tentative="0">
      <w:start w:val="2"/>
      <w:numFmt w:val="chineseCounting"/>
      <w:suff w:val="nothing"/>
      <w:lvlText w:val="%1、"/>
      <w:lvlJc w:val="left"/>
    </w:lvl>
  </w:abstractNum>
  <w:abstractNum w:abstractNumId="4">
    <w:nsid w:val="58A16831"/>
    <w:multiLevelType w:val="singleLevel"/>
    <w:tmpl w:val="58A16831"/>
    <w:lvl w:ilvl="0" w:tentative="0">
      <w:start w:val="7"/>
      <w:numFmt w:val="decimal"/>
      <w:suff w:val="nothing"/>
      <w:lvlText w:val="%1."/>
      <w:lvlJc w:val="left"/>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DD772F"/>
    <w:rsid w:val="00000054"/>
    <w:rsid w:val="0000280F"/>
    <w:rsid w:val="00007B1A"/>
    <w:rsid w:val="0001138B"/>
    <w:rsid w:val="00020B22"/>
    <w:rsid w:val="00023797"/>
    <w:rsid w:val="00023DEF"/>
    <w:rsid w:val="00024725"/>
    <w:rsid w:val="00024DA3"/>
    <w:rsid w:val="00030EE6"/>
    <w:rsid w:val="00031566"/>
    <w:rsid w:val="0003291E"/>
    <w:rsid w:val="00037386"/>
    <w:rsid w:val="00043CD9"/>
    <w:rsid w:val="000466AA"/>
    <w:rsid w:val="00047A89"/>
    <w:rsid w:val="000511E4"/>
    <w:rsid w:val="00054BD3"/>
    <w:rsid w:val="00055D00"/>
    <w:rsid w:val="00062194"/>
    <w:rsid w:val="00067C97"/>
    <w:rsid w:val="000726B7"/>
    <w:rsid w:val="00074AD5"/>
    <w:rsid w:val="000761E1"/>
    <w:rsid w:val="00083252"/>
    <w:rsid w:val="00084B2D"/>
    <w:rsid w:val="00084C01"/>
    <w:rsid w:val="000851F7"/>
    <w:rsid w:val="0008607C"/>
    <w:rsid w:val="00094CF8"/>
    <w:rsid w:val="00096DBC"/>
    <w:rsid w:val="000A2049"/>
    <w:rsid w:val="000A2AD3"/>
    <w:rsid w:val="000A3DEC"/>
    <w:rsid w:val="000B5AFB"/>
    <w:rsid w:val="000B63D0"/>
    <w:rsid w:val="000B7EE3"/>
    <w:rsid w:val="000C0889"/>
    <w:rsid w:val="000C61E6"/>
    <w:rsid w:val="000D0D90"/>
    <w:rsid w:val="000D62C2"/>
    <w:rsid w:val="001073F5"/>
    <w:rsid w:val="001103C9"/>
    <w:rsid w:val="001126D6"/>
    <w:rsid w:val="00112713"/>
    <w:rsid w:val="0011298F"/>
    <w:rsid w:val="001313BD"/>
    <w:rsid w:val="0014721A"/>
    <w:rsid w:val="00150575"/>
    <w:rsid w:val="001523D0"/>
    <w:rsid w:val="001555F0"/>
    <w:rsid w:val="001633F8"/>
    <w:rsid w:val="00164C28"/>
    <w:rsid w:val="00176466"/>
    <w:rsid w:val="00183602"/>
    <w:rsid w:val="00183799"/>
    <w:rsid w:val="00187539"/>
    <w:rsid w:val="0019591B"/>
    <w:rsid w:val="001A17B6"/>
    <w:rsid w:val="001B10F3"/>
    <w:rsid w:val="001B2EE2"/>
    <w:rsid w:val="001C2893"/>
    <w:rsid w:val="001C759D"/>
    <w:rsid w:val="001C79C6"/>
    <w:rsid w:val="001D0C26"/>
    <w:rsid w:val="001D14A9"/>
    <w:rsid w:val="001D19D6"/>
    <w:rsid w:val="001E0928"/>
    <w:rsid w:val="001E6691"/>
    <w:rsid w:val="001F7062"/>
    <w:rsid w:val="002020E5"/>
    <w:rsid w:val="00204EF9"/>
    <w:rsid w:val="002066FB"/>
    <w:rsid w:val="00212C6E"/>
    <w:rsid w:val="00213BCA"/>
    <w:rsid w:val="002142EA"/>
    <w:rsid w:val="00215767"/>
    <w:rsid w:val="00222C5E"/>
    <w:rsid w:val="002266D1"/>
    <w:rsid w:val="00246886"/>
    <w:rsid w:val="00247C94"/>
    <w:rsid w:val="00253B0E"/>
    <w:rsid w:val="00266B5F"/>
    <w:rsid w:val="00267279"/>
    <w:rsid w:val="00270EB2"/>
    <w:rsid w:val="002804C0"/>
    <w:rsid w:val="00293E18"/>
    <w:rsid w:val="0029441D"/>
    <w:rsid w:val="00297A17"/>
    <w:rsid w:val="002A69C6"/>
    <w:rsid w:val="002B1C0A"/>
    <w:rsid w:val="002C1347"/>
    <w:rsid w:val="002C2DC4"/>
    <w:rsid w:val="002C2F6B"/>
    <w:rsid w:val="002C7A48"/>
    <w:rsid w:val="002D029F"/>
    <w:rsid w:val="002E6562"/>
    <w:rsid w:val="002F071F"/>
    <w:rsid w:val="002F1B7C"/>
    <w:rsid w:val="002F4802"/>
    <w:rsid w:val="002F609D"/>
    <w:rsid w:val="003017D8"/>
    <w:rsid w:val="00303D73"/>
    <w:rsid w:val="00317720"/>
    <w:rsid w:val="003179E9"/>
    <w:rsid w:val="00324794"/>
    <w:rsid w:val="00324C3E"/>
    <w:rsid w:val="0033087E"/>
    <w:rsid w:val="0033353D"/>
    <w:rsid w:val="003353DC"/>
    <w:rsid w:val="00344F08"/>
    <w:rsid w:val="003527B6"/>
    <w:rsid w:val="0035491C"/>
    <w:rsid w:val="00361908"/>
    <w:rsid w:val="003636E4"/>
    <w:rsid w:val="003668BC"/>
    <w:rsid w:val="003673CD"/>
    <w:rsid w:val="003700BF"/>
    <w:rsid w:val="003711DF"/>
    <w:rsid w:val="003720FF"/>
    <w:rsid w:val="003741B1"/>
    <w:rsid w:val="00374F49"/>
    <w:rsid w:val="00374F72"/>
    <w:rsid w:val="0039468A"/>
    <w:rsid w:val="003A2730"/>
    <w:rsid w:val="003A2BF8"/>
    <w:rsid w:val="003A3BC0"/>
    <w:rsid w:val="003B56BC"/>
    <w:rsid w:val="003B5E54"/>
    <w:rsid w:val="003B6864"/>
    <w:rsid w:val="003C0050"/>
    <w:rsid w:val="003C76BD"/>
    <w:rsid w:val="003E1540"/>
    <w:rsid w:val="003F3A5D"/>
    <w:rsid w:val="003F3B85"/>
    <w:rsid w:val="0040363A"/>
    <w:rsid w:val="00407FB6"/>
    <w:rsid w:val="00417D97"/>
    <w:rsid w:val="0042120E"/>
    <w:rsid w:val="00425220"/>
    <w:rsid w:val="0043010E"/>
    <w:rsid w:val="00430884"/>
    <w:rsid w:val="00435E88"/>
    <w:rsid w:val="00440664"/>
    <w:rsid w:val="00441C90"/>
    <w:rsid w:val="00445453"/>
    <w:rsid w:val="004512D6"/>
    <w:rsid w:val="00451FB0"/>
    <w:rsid w:val="004603B2"/>
    <w:rsid w:val="0046165F"/>
    <w:rsid w:val="00487E9E"/>
    <w:rsid w:val="00493C28"/>
    <w:rsid w:val="00494E63"/>
    <w:rsid w:val="004A77F7"/>
    <w:rsid w:val="004B0B95"/>
    <w:rsid w:val="004B1A15"/>
    <w:rsid w:val="004B5082"/>
    <w:rsid w:val="004C5434"/>
    <w:rsid w:val="004E3810"/>
    <w:rsid w:val="004E447D"/>
    <w:rsid w:val="004E6A04"/>
    <w:rsid w:val="004F13A0"/>
    <w:rsid w:val="004F29A5"/>
    <w:rsid w:val="004F6907"/>
    <w:rsid w:val="005003D0"/>
    <w:rsid w:val="0050418F"/>
    <w:rsid w:val="00507534"/>
    <w:rsid w:val="00515025"/>
    <w:rsid w:val="00523A31"/>
    <w:rsid w:val="005418E6"/>
    <w:rsid w:val="00542CC3"/>
    <w:rsid w:val="00547057"/>
    <w:rsid w:val="00550DBB"/>
    <w:rsid w:val="00552A83"/>
    <w:rsid w:val="00555B31"/>
    <w:rsid w:val="00555D79"/>
    <w:rsid w:val="00565CAD"/>
    <w:rsid w:val="00566229"/>
    <w:rsid w:val="00570F28"/>
    <w:rsid w:val="0058599D"/>
    <w:rsid w:val="00586C90"/>
    <w:rsid w:val="00592EC1"/>
    <w:rsid w:val="005958DC"/>
    <w:rsid w:val="005A20C5"/>
    <w:rsid w:val="005A3742"/>
    <w:rsid w:val="005A3ABC"/>
    <w:rsid w:val="005A4F8B"/>
    <w:rsid w:val="005A616A"/>
    <w:rsid w:val="005A68F5"/>
    <w:rsid w:val="005B184B"/>
    <w:rsid w:val="005B45FC"/>
    <w:rsid w:val="005B6914"/>
    <w:rsid w:val="005C68B7"/>
    <w:rsid w:val="005C7B72"/>
    <w:rsid w:val="005D583C"/>
    <w:rsid w:val="005D6956"/>
    <w:rsid w:val="005D7611"/>
    <w:rsid w:val="005E1A69"/>
    <w:rsid w:val="005E2DCA"/>
    <w:rsid w:val="005E30DD"/>
    <w:rsid w:val="005E440B"/>
    <w:rsid w:val="005E673A"/>
    <w:rsid w:val="005F5DB0"/>
    <w:rsid w:val="005F6D04"/>
    <w:rsid w:val="00602BEC"/>
    <w:rsid w:val="00603A5C"/>
    <w:rsid w:val="00606502"/>
    <w:rsid w:val="0061426E"/>
    <w:rsid w:val="006217D3"/>
    <w:rsid w:val="006241AA"/>
    <w:rsid w:val="00645B6F"/>
    <w:rsid w:val="00651FC9"/>
    <w:rsid w:val="006609B4"/>
    <w:rsid w:val="00662CB4"/>
    <w:rsid w:val="00665B4D"/>
    <w:rsid w:val="00675A0C"/>
    <w:rsid w:val="0067753B"/>
    <w:rsid w:val="0069085C"/>
    <w:rsid w:val="00697FBF"/>
    <w:rsid w:val="006A1EE5"/>
    <w:rsid w:val="006C322D"/>
    <w:rsid w:val="006D272C"/>
    <w:rsid w:val="006E7169"/>
    <w:rsid w:val="006E7812"/>
    <w:rsid w:val="006F0268"/>
    <w:rsid w:val="006F2CE5"/>
    <w:rsid w:val="007035CF"/>
    <w:rsid w:val="007073E8"/>
    <w:rsid w:val="00712B7F"/>
    <w:rsid w:val="007163CC"/>
    <w:rsid w:val="0071661E"/>
    <w:rsid w:val="00726A46"/>
    <w:rsid w:val="00740431"/>
    <w:rsid w:val="0074474D"/>
    <w:rsid w:val="00745526"/>
    <w:rsid w:val="00745A15"/>
    <w:rsid w:val="007514BB"/>
    <w:rsid w:val="00751CCE"/>
    <w:rsid w:val="0076424E"/>
    <w:rsid w:val="00771443"/>
    <w:rsid w:val="00790054"/>
    <w:rsid w:val="007A1204"/>
    <w:rsid w:val="007A26EC"/>
    <w:rsid w:val="007B3C6C"/>
    <w:rsid w:val="007B4DFE"/>
    <w:rsid w:val="007B5DEB"/>
    <w:rsid w:val="007C2BFB"/>
    <w:rsid w:val="007D1BDA"/>
    <w:rsid w:val="007D1EF7"/>
    <w:rsid w:val="007D545C"/>
    <w:rsid w:val="007E1B27"/>
    <w:rsid w:val="007E5385"/>
    <w:rsid w:val="007F037A"/>
    <w:rsid w:val="007F1C0E"/>
    <w:rsid w:val="007F3661"/>
    <w:rsid w:val="00801A87"/>
    <w:rsid w:val="00801DD1"/>
    <w:rsid w:val="00801EAC"/>
    <w:rsid w:val="008069CE"/>
    <w:rsid w:val="00810784"/>
    <w:rsid w:val="00816D92"/>
    <w:rsid w:val="008219A5"/>
    <w:rsid w:val="00826C93"/>
    <w:rsid w:val="00827F79"/>
    <w:rsid w:val="00836DD4"/>
    <w:rsid w:val="00842298"/>
    <w:rsid w:val="00842638"/>
    <w:rsid w:val="00844108"/>
    <w:rsid w:val="00844878"/>
    <w:rsid w:val="00847651"/>
    <w:rsid w:val="008513F8"/>
    <w:rsid w:val="008565BA"/>
    <w:rsid w:val="00857755"/>
    <w:rsid w:val="008608A0"/>
    <w:rsid w:val="008635F0"/>
    <w:rsid w:val="008714BE"/>
    <w:rsid w:val="00873075"/>
    <w:rsid w:val="00897D98"/>
    <w:rsid w:val="008A3FEB"/>
    <w:rsid w:val="008A4203"/>
    <w:rsid w:val="008A45E9"/>
    <w:rsid w:val="008A63BB"/>
    <w:rsid w:val="008A7770"/>
    <w:rsid w:val="008B1350"/>
    <w:rsid w:val="008B1D25"/>
    <w:rsid w:val="008B4F8E"/>
    <w:rsid w:val="008D3F3C"/>
    <w:rsid w:val="008E31C3"/>
    <w:rsid w:val="008F1126"/>
    <w:rsid w:val="008F54ED"/>
    <w:rsid w:val="009026A2"/>
    <w:rsid w:val="00905D0C"/>
    <w:rsid w:val="00911135"/>
    <w:rsid w:val="00911E40"/>
    <w:rsid w:val="0093459E"/>
    <w:rsid w:val="00934EEB"/>
    <w:rsid w:val="009354E0"/>
    <w:rsid w:val="00940BD9"/>
    <w:rsid w:val="009536FF"/>
    <w:rsid w:val="009721B2"/>
    <w:rsid w:val="00981AD7"/>
    <w:rsid w:val="00983AE2"/>
    <w:rsid w:val="009872C5"/>
    <w:rsid w:val="00991F7B"/>
    <w:rsid w:val="009956A8"/>
    <w:rsid w:val="009A2888"/>
    <w:rsid w:val="009A7D93"/>
    <w:rsid w:val="009B2294"/>
    <w:rsid w:val="009B43B0"/>
    <w:rsid w:val="009B78DC"/>
    <w:rsid w:val="009C1657"/>
    <w:rsid w:val="009C4929"/>
    <w:rsid w:val="009C4D57"/>
    <w:rsid w:val="009D0614"/>
    <w:rsid w:val="009D1658"/>
    <w:rsid w:val="009D295F"/>
    <w:rsid w:val="009D2D27"/>
    <w:rsid w:val="009D374F"/>
    <w:rsid w:val="009D44D5"/>
    <w:rsid w:val="009F4093"/>
    <w:rsid w:val="00A1360F"/>
    <w:rsid w:val="00A22207"/>
    <w:rsid w:val="00A262E1"/>
    <w:rsid w:val="00A36284"/>
    <w:rsid w:val="00A4106B"/>
    <w:rsid w:val="00A52DDF"/>
    <w:rsid w:val="00A57464"/>
    <w:rsid w:val="00A653E5"/>
    <w:rsid w:val="00A71B05"/>
    <w:rsid w:val="00A74763"/>
    <w:rsid w:val="00A75793"/>
    <w:rsid w:val="00A92D4C"/>
    <w:rsid w:val="00A94174"/>
    <w:rsid w:val="00A97424"/>
    <w:rsid w:val="00AB3B08"/>
    <w:rsid w:val="00AB7150"/>
    <w:rsid w:val="00AB74A6"/>
    <w:rsid w:val="00AD080A"/>
    <w:rsid w:val="00AD0B99"/>
    <w:rsid w:val="00AD3FD1"/>
    <w:rsid w:val="00AD5C12"/>
    <w:rsid w:val="00AE5F89"/>
    <w:rsid w:val="00AF21B9"/>
    <w:rsid w:val="00AF4B55"/>
    <w:rsid w:val="00B01D8A"/>
    <w:rsid w:val="00B01E32"/>
    <w:rsid w:val="00B02C83"/>
    <w:rsid w:val="00B05BAD"/>
    <w:rsid w:val="00B0717F"/>
    <w:rsid w:val="00B108D9"/>
    <w:rsid w:val="00B10BB4"/>
    <w:rsid w:val="00B12488"/>
    <w:rsid w:val="00B14F2A"/>
    <w:rsid w:val="00B20F65"/>
    <w:rsid w:val="00B254AF"/>
    <w:rsid w:val="00B301C2"/>
    <w:rsid w:val="00B40422"/>
    <w:rsid w:val="00B4581F"/>
    <w:rsid w:val="00B4639E"/>
    <w:rsid w:val="00B64022"/>
    <w:rsid w:val="00B656AA"/>
    <w:rsid w:val="00B65F1A"/>
    <w:rsid w:val="00B74FEA"/>
    <w:rsid w:val="00BA54DD"/>
    <w:rsid w:val="00BB23FE"/>
    <w:rsid w:val="00BC05D3"/>
    <w:rsid w:val="00BC3D0F"/>
    <w:rsid w:val="00BC7C2B"/>
    <w:rsid w:val="00BD1009"/>
    <w:rsid w:val="00BD1899"/>
    <w:rsid w:val="00BD2E9B"/>
    <w:rsid w:val="00BD72A0"/>
    <w:rsid w:val="00BD7813"/>
    <w:rsid w:val="00BE4253"/>
    <w:rsid w:val="00BE596B"/>
    <w:rsid w:val="00BF250C"/>
    <w:rsid w:val="00C00B0C"/>
    <w:rsid w:val="00C01C84"/>
    <w:rsid w:val="00C160C6"/>
    <w:rsid w:val="00C23440"/>
    <w:rsid w:val="00C265CD"/>
    <w:rsid w:val="00C26BF3"/>
    <w:rsid w:val="00C27D91"/>
    <w:rsid w:val="00C31B9B"/>
    <w:rsid w:val="00C41241"/>
    <w:rsid w:val="00C417EE"/>
    <w:rsid w:val="00C65364"/>
    <w:rsid w:val="00C72C32"/>
    <w:rsid w:val="00C7555F"/>
    <w:rsid w:val="00C75AFF"/>
    <w:rsid w:val="00C91B32"/>
    <w:rsid w:val="00C97610"/>
    <w:rsid w:val="00CB2A1E"/>
    <w:rsid w:val="00CB494D"/>
    <w:rsid w:val="00CB5C91"/>
    <w:rsid w:val="00CB6791"/>
    <w:rsid w:val="00CB6D47"/>
    <w:rsid w:val="00CC33F4"/>
    <w:rsid w:val="00CC49DA"/>
    <w:rsid w:val="00CC51E3"/>
    <w:rsid w:val="00CC5E77"/>
    <w:rsid w:val="00CD19AA"/>
    <w:rsid w:val="00CD3B66"/>
    <w:rsid w:val="00CF59AB"/>
    <w:rsid w:val="00CF718D"/>
    <w:rsid w:val="00CF7B40"/>
    <w:rsid w:val="00D17069"/>
    <w:rsid w:val="00D2044F"/>
    <w:rsid w:val="00D207B3"/>
    <w:rsid w:val="00D22F25"/>
    <w:rsid w:val="00D26A4A"/>
    <w:rsid w:val="00D276C7"/>
    <w:rsid w:val="00D40009"/>
    <w:rsid w:val="00D413EC"/>
    <w:rsid w:val="00D41501"/>
    <w:rsid w:val="00D45116"/>
    <w:rsid w:val="00D46828"/>
    <w:rsid w:val="00D52999"/>
    <w:rsid w:val="00D55B5A"/>
    <w:rsid w:val="00D57E3F"/>
    <w:rsid w:val="00D617CF"/>
    <w:rsid w:val="00D61A09"/>
    <w:rsid w:val="00D745C3"/>
    <w:rsid w:val="00D81EDD"/>
    <w:rsid w:val="00D8448F"/>
    <w:rsid w:val="00D95AD4"/>
    <w:rsid w:val="00D95E9C"/>
    <w:rsid w:val="00DA4E6F"/>
    <w:rsid w:val="00DA7D4C"/>
    <w:rsid w:val="00DB327C"/>
    <w:rsid w:val="00DB4926"/>
    <w:rsid w:val="00DB6A19"/>
    <w:rsid w:val="00DC3185"/>
    <w:rsid w:val="00DC39FE"/>
    <w:rsid w:val="00DC46DC"/>
    <w:rsid w:val="00DD19CC"/>
    <w:rsid w:val="00DD772F"/>
    <w:rsid w:val="00DE2D4E"/>
    <w:rsid w:val="00DE4591"/>
    <w:rsid w:val="00DE5CEC"/>
    <w:rsid w:val="00DE5D97"/>
    <w:rsid w:val="00DE61BF"/>
    <w:rsid w:val="00DE63D8"/>
    <w:rsid w:val="00DF17B9"/>
    <w:rsid w:val="00E02FC9"/>
    <w:rsid w:val="00E053FA"/>
    <w:rsid w:val="00E07243"/>
    <w:rsid w:val="00E13EE4"/>
    <w:rsid w:val="00E3162F"/>
    <w:rsid w:val="00E33003"/>
    <w:rsid w:val="00E345B2"/>
    <w:rsid w:val="00E37FF6"/>
    <w:rsid w:val="00E40098"/>
    <w:rsid w:val="00E42C96"/>
    <w:rsid w:val="00E43C4D"/>
    <w:rsid w:val="00E570FC"/>
    <w:rsid w:val="00E64FFF"/>
    <w:rsid w:val="00E72AAA"/>
    <w:rsid w:val="00E74311"/>
    <w:rsid w:val="00E77DB6"/>
    <w:rsid w:val="00E81E66"/>
    <w:rsid w:val="00E83349"/>
    <w:rsid w:val="00E849D7"/>
    <w:rsid w:val="00E864BB"/>
    <w:rsid w:val="00E87BCC"/>
    <w:rsid w:val="00E93B18"/>
    <w:rsid w:val="00E961DF"/>
    <w:rsid w:val="00E970DB"/>
    <w:rsid w:val="00E97869"/>
    <w:rsid w:val="00EA0328"/>
    <w:rsid w:val="00EA210D"/>
    <w:rsid w:val="00EA24EB"/>
    <w:rsid w:val="00EA5C4D"/>
    <w:rsid w:val="00EB3B88"/>
    <w:rsid w:val="00ED1761"/>
    <w:rsid w:val="00ED714B"/>
    <w:rsid w:val="00EE113E"/>
    <w:rsid w:val="00EF1A26"/>
    <w:rsid w:val="00EF3207"/>
    <w:rsid w:val="00EF38AE"/>
    <w:rsid w:val="00EF72A5"/>
    <w:rsid w:val="00F00F8E"/>
    <w:rsid w:val="00F1177E"/>
    <w:rsid w:val="00F11D5E"/>
    <w:rsid w:val="00F15BF3"/>
    <w:rsid w:val="00F228DF"/>
    <w:rsid w:val="00F22F97"/>
    <w:rsid w:val="00F23EAF"/>
    <w:rsid w:val="00F27BE2"/>
    <w:rsid w:val="00F42382"/>
    <w:rsid w:val="00F46FD6"/>
    <w:rsid w:val="00F50699"/>
    <w:rsid w:val="00F5168A"/>
    <w:rsid w:val="00F5325D"/>
    <w:rsid w:val="00F57B7A"/>
    <w:rsid w:val="00F616A9"/>
    <w:rsid w:val="00F63273"/>
    <w:rsid w:val="00F65475"/>
    <w:rsid w:val="00F71455"/>
    <w:rsid w:val="00F7166A"/>
    <w:rsid w:val="00F73CCF"/>
    <w:rsid w:val="00F82F95"/>
    <w:rsid w:val="00F915A4"/>
    <w:rsid w:val="00F97759"/>
    <w:rsid w:val="00FA0F59"/>
    <w:rsid w:val="00FA4758"/>
    <w:rsid w:val="00FB10F0"/>
    <w:rsid w:val="00FB6B06"/>
    <w:rsid w:val="00FC2438"/>
    <w:rsid w:val="00FC7991"/>
    <w:rsid w:val="00FD12A4"/>
    <w:rsid w:val="00FD2CFA"/>
    <w:rsid w:val="00FD47C7"/>
    <w:rsid w:val="00FD57EC"/>
    <w:rsid w:val="00FD7D7D"/>
    <w:rsid w:val="00FE32BB"/>
    <w:rsid w:val="00FE40CF"/>
    <w:rsid w:val="00FF1392"/>
    <w:rsid w:val="00FF1D69"/>
    <w:rsid w:val="00FF2A5D"/>
    <w:rsid w:val="03E92B34"/>
    <w:rsid w:val="03F26A41"/>
    <w:rsid w:val="044B0AC0"/>
    <w:rsid w:val="05433789"/>
    <w:rsid w:val="054D75B0"/>
    <w:rsid w:val="070C22F2"/>
    <w:rsid w:val="0730726B"/>
    <w:rsid w:val="07421737"/>
    <w:rsid w:val="083B2C53"/>
    <w:rsid w:val="085C280F"/>
    <w:rsid w:val="088E0084"/>
    <w:rsid w:val="09113004"/>
    <w:rsid w:val="09506477"/>
    <w:rsid w:val="0B705281"/>
    <w:rsid w:val="0DDF7917"/>
    <w:rsid w:val="0E530352"/>
    <w:rsid w:val="0E8D71FF"/>
    <w:rsid w:val="0F233AEF"/>
    <w:rsid w:val="0FC37EA1"/>
    <w:rsid w:val="0FF46C0C"/>
    <w:rsid w:val="10D907AF"/>
    <w:rsid w:val="116F5CD9"/>
    <w:rsid w:val="12790AEC"/>
    <w:rsid w:val="128175D8"/>
    <w:rsid w:val="12F475CC"/>
    <w:rsid w:val="148B5F02"/>
    <w:rsid w:val="159F1528"/>
    <w:rsid w:val="16483DEA"/>
    <w:rsid w:val="16EA114A"/>
    <w:rsid w:val="179F0310"/>
    <w:rsid w:val="17BE1124"/>
    <w:rsid w:val="189D63A0"/>
    <w:rsid w:val="18A80D24"/>
    <w:rsid w:val="1A8A6447"/>
    <w:rsid w:val="1BAE55B7"/>
    <w:rsid w:val="1CA5689F"/>
    <w:rsid w:val="1DD60E7C"/>
    <w:rsid w:val="1E397009"/>
    <w:rsid w:val="1FBF7740"/>
    <w:rsid w:val="21DF135E"/>
    <w:rsid w:val="244159A5"/>
    <w:rsid w:val="24F66D48"/>
    <w:rsid w:val="254D0A66"/>
    <w:rsid w:val="255816E9"/>
    <w:rsid w:val="26244B72"/>
    <w:rsid w:val="26D44801"/>
    <w:rsid w:val="27296828"/>
    <w:rsid w:val="28DA16D3"/>
    <w:rsid w:val="29B32DE1"/>
    <w:rsid w:val="2AAF745B"/>
    <w:rsid w:val="2C5E0B94"/>
    <w:rsid w:val="2E040851"/>
    <w:rsid w:val="30216548"/>
    <w:rsid w:val="30CD3819"/>
    <w:rsid w:val="30EE1CD2"/>
    <w:rsid w:val="30F9724F"/>
    <w:rsid w:val="31672CCD"/>
    <w:rsid w:val="328F737B"/>
    <w:rsid w:val="330E39C1"/>
    <w:rsid w:val="354F409A"/>
    <w:rsid w:val="35D40DC6"/>
    <w:rsid w:val="36E0228C"/>
    <w:rsid w:val="37F90BB3"/>
    <w:rsid w:val="39DD65E5"/>
    <w:rsid w:val="3A7039A6"/>
    <w:rsid w:val="3BE05F9A"/>
    <w:rsid w:val="3C907D69"/>
    <w:rsid w:val="3D7B1D7D"/>
    <w:rsid w:val="3DDC7BA0"/>
    <w:rsid w:val="3F49034F"/>
    <w:rsid w:val="40557931"/>
    <w:rsid w:val="40756212"/>
    <w:rsid w:val="408E4D45"/>
    <w:rsid w:val="430C3BD3"/>
    <w:rsid w:val="43284477"/>
    <w:rsid w:val="43D864E9"/>
    <w:rsid w:val="446D7938"/>
    <w:rsid w:val="44780CF9"/>
    <w:rsid w:val="47380647"/>
    <w:rsid w:val="4A475143"/>
    <w:rsid w:val="4B2D0FEE"/>
    <w:rsid w:val="4B41504E"/>
    <w:rsid w:val="4B6734EE"/>
    <w:rsid w:val="4B9D3F97"/>
    <w:rsid w:val="4BD868F3"/>
    <w:rsid w:val="4C2F5473"/>
    <w:rsid w:val="4E596AFD"/>
    <w:rsid w:val="500C059A"/>
    <w:rsid w:val="501F2F41"/>
    <w:rsid w:val="50A21829"/>
    <w:rsid w:val="53BD0F0F"/>
    <w:rsid w:val="54D377AD"/>
    <w:rsid w:val="554C00B7"/>
    <w:rsid w:val="56426B58"/>
    <w:rsid w:val="5835054C"/>
    <w:rsid w:val="59D424B3"/>
    <w:rsid w:val="59F020D7"/>
    <w:rsid w:val="5B860D6A"/>
    <w:rsid w:val="5CED62BA"/>
    <w:rsid w:val="5E3023E3"/>
    <w:rsid w:val="60573EE7"/>
    <w:rsid w:val="6074597C"/>
    <w:rsid w:val="63E432E5"/>
    <w:rsid w:val="64B3190D"/>
    <w:rsid w:val="662F36D4"/>
    <w:rsid w:val="66D173FD"/>
    <w:rsid w:val="67B4357D"/>
    <w:rsid w:val="68A361A3"/>
    <w:rsid w:val="68AC5623"/>
    <w:rsid w:val="68E02A3F"/>
    <w:rsid w:val="690D3B2E"/>
    <w:rsid w:val="6B0807BF"/>
    <w:rsid w:val="6B2E0008"/>
    <w:rsid w:val="6D3630B4"/>
    <w:rsid w:val="6E515A4F"/>
    <w:rsid w:val="6EF05A8F"/>
    <w:rsid w:val="6EF56C99"/>
    <w:rsid w:val="71751B1A"/>
    <w:rsid w:val="72DE45C9"/>
    <w:rsid w:val="73921091"/>
    <w:rsid w:val="74854AD8"/>
    <w:rsid w:val="74F52C89"/>
    <w:rsid w:val="79132D33"/>
    <w:rsid w:val="794355B4"/>
    <w:rsid w:val="79660D48"/>
    <w:rsid w:val="7A741CE4"/>
    <w:rsid w:val="7DCA1AE4"/>
    <w:rsid w:val="7DED1D0E"/>
    <w:rsid w:val="7E59790F"/>
    <w:rsid w:val="7EC15E02"/>
    <w:rsid w:val="7EFA10F5"/>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4"/>
    <w:qFormat/>
    <w:uiPriority w:val="0"/>
    <w:pPr>
      <w:keepNext/>
      <w:keepLines/>
      <w:spacing w:before="260" w:after="260" w:line="416" w:lineRule="auto"/>
      <w:outlineLvl w:val="1"/>
    </w:pPr>
    <w:rPr>
      <w:rFonts w:ascii="Arial" w:hAnsi="Arial" w:eastAsia="黑体" w:cs="Arial"/>
      <w:b/>
      <w:bCs/>
      <w:kern w:val="0"/>
      <w:sz w:val="32"/>
      <w:szCs w:val="32"/>
    </w:rPr>
  </w:style>
  <w:style w:type="paragraph" w:styleId="4">
    <w:name w:val="heading 3"/>
    <w:basedOn w:val="1"/>
    <w:next w:val="5"/>
    <w:link w:val="86"/>
    <w:qFormat/>
    <w:uiPriority w:val="0"/>
    <w:pPr>
      <w:keepNext/>
      <w:keepLines/>
      <w:spacing w:before="260" w:after="260" w:line="416" w:lineRule="auto"/>
      <w:outlineLvl w:val="2"/>
    </w:pPr>
    <w:rPr>
      <w:b/>
      <w:bCs/>
      <w:kern w:val="0"/>
      <w:sz w:val="32"/>
      <w:szCs w:val="32"/>
    </w:rPr>
  </w:style>
  <w:style w:type="paragraph" w:styleId="6">
    <w:name w:val="heading 4"/>
    <w:basedOn w:val="1"/>
    <w:next w:val="1"/>
    <w:link w:val="85"/>
    <w:qFormat/>
    <w:uiPriority w:val="0"/>
    <w:pPr>
      <w:keepNext/>
      <w:jc w:val="center"/>
      <w:outlineLvl w:val="3"/>
    </w:pPr>
    <w:rPr>
      <w:rFonts w:eastAsia="新宋体"/>
      <w:kern w:val="0"/>
      <w:sz w:val="30"/>
      <w:szCs w:val="30"/>
    </w:rPr>
  </w:style>
  <w:style w:type="paragraph" w:styleId="7">
    <w:name w:val="heading 5"/>
    <w:basedOn w:val="1"/>
    <w:next w:val="1"/>
    <w:link w:val="83"/>
    <w:qFormat/>
    <w:uiPriority w:val="0"/>
    <w:pPr>
      <w:keepNext/>
      <w:keepLines/>
      <w:spacing w:before="280" w:after="290" w:line="376" w:lineRule="auto"/>
      <w:outlineLvl w:val="4"/>
    </w:pPr>
    <w:rPr>
      <w:b/>
      <w:bCs/>
      <w:kern w:val="0"/>
      <w:sz w:val="28"/>
      <w:szCs w:val="28"/>
    </w:rPr>
  </w:style>
  <w:style w:type="paragraph" w:styleId="8">
    <w:name w:val="heading 6"/>
    <w:basedOn w:val="1"/>
    <w:next w:val="5"/>
    <w:link w:val="66"/>
    <w:qFormat/>
    <w:uiPriority w:val="0"/>
    <w:pPr>
      <w:keepNext/>
      <w:jc w:val="center"/>
      <w:outlineLvl w:val="5"/>
    </w:pPr>
    <w:rPr>
      <w:b/>
      <w:bCs/>
      <w:kern w:val="0"/>
      <w:sz w:val="44"/>
      <w:szCs w:val="44"/>
    </w:rPr>
  </w:style>
  <w:style w:type="paragraph" w:styleId="9">
    <w:name w:val="heading 7"/>
    <w:basedOn w:val="1"/>
    <w:next w:val="1"/>
    <w:link w:val="84"/>
    <w:qFormat/>
    <w:uiPriority w:val="0"/>
    <w:pPr>
      <w:keepNext/>
      <w:keepLines/>
      <w:spacing w:before="240" w:after="64" w:line="320" w:lineRule="auto"/>
      <w:outlineLvl w:val="6"/>
    </w:pPr>
    <w:rPr>
      <w:b/>
      <w:bCs/>
      <w:kern w:val="0"/>
      <w:sz w:val="24"/>
      <w:szCs w:val="24"/>
    </w:rPr>
  </w:style>
  <w:style w:type="paragraph" w:styleId="10">
    <w:name w:val="heading 8"/>
    <w:basedOn w:val="1"/>
    <w:next w:val="1"/>
    <w:link w:val="88"/>
    <w:qFormat/>
    <w:uiPriority w:val="0"/>
    <w:pPr>
      <w:keepNext/>
      <w:keepLines/>
      <w:spacing w:before="240" w:after="64" w:line="320" w:lineRule="auto"/>
      <w:outlineLvl w:val="7"/>
    </w:pPr>
    <w:rPr>
      <w:rFonts w:ascii="Arial" w:hAnsi="Arial" w:eastAsia="黑体" w:cs="Arial"/>
      <w:kern w:val="0"/>
      <w:sz w:val="24"/>
      <w:szCs w:val="24"/>
    </w:rPr>
  </w:style>
  <w:style w:type="paragraph" w:styleId="11">
    <w:name w:val="heading 9"/>
    <w:basedOn w:val="1"/>
    <w:next w:val="1"/>
    <w:link w:val="69"/>
    <w:qFormat/>
    <w:uiPriority w:val="0"/>
    <w:pPr>
      <w:keepNext/>
      <w:keepLines/>
      <w:spacing w:before="240" w:after="64" w:line="320" w:lineRule="auto"/>
      <w:outlineLvl w:val="8"/>
    </w:pPr>
    <w:rPr>
      <w:rFonts w:ascii="Arial" w:hAnsi="Arial" w:eastAsia="黑体" w:cs="Arial"/>
      <w:kern w:val="0"/>
      <w:sz w:val="24"/>
      <w:szCs w:val="24"/>
    </w:rPr>
  </w:style>
  <w:style w:type="character" w:default="1" w:styleId="40">
    <w:name w:val="Default Paragraph Font"/>
    <w:unhideWhenUsed/>
    <w:qFormat/>
    <w:uiPriority w:val="1"/>
  </w:style>
  <w:style w:type="table" w:default="1" w:styleId="46">
    <w:name w:val="Normal Table"/>
    <w:unhideWhenUsed/>
    <w:qFormat/>
    <w:uiPriority w:val="99"/>
    <w:tblPr>
      <w:tblLayout w:type="fixed"/>
      <w:tblCellMar>
        <w:top w:w="0" w:type="dxa"/>
        <w:left w:w="108" w:type="dxa"/>
        <w:bottom w:w="0" w:type="dxa"/>
        <w:right w:w="108" w:type="dxa"/>
      </w:tblCellMar>
    </w:tblPr>
  </w:style>
  <w:style w:type="paragraph" w:styleId="5">
    <w:name w:val="Normal Indent"/>
    <w:basedOn w:val="1"/>
    <w:link w:val="59"/>
    <w:qFormat/>
    <w:uiPriority w:val="0"/>
    <w:pPr>
      <w:ind w:firstLine="420"/>
    </w:pPr>
    <w:rPr>
      <w:kern w:val="0"/>
      <w:sz w:val="20"/>
      <w:szCs w:val="20"/>
    </w:rPr>
  </w:style>
  <w:style w:type="paragraph" w:styleId="12">
    <w:name w:val="annotation subject"/>
    <w:basedOn w:val="13"/>
    <w:next w:val="13"/>
    <w:link w:val="82"/>
    <w:semiHidden/>
    <w:qFormat/>
    <w:uiPriority w:val="0"/>
    <w:rPr>
      <w:b/>
      <w:bCs/>
    </w:rPr>
  </w:style>
  <w:style w:type="paragraph" w:styleId="13">
    <w:name w:val="annotation text"/>
    <w:basedOn w:val="1"/>
    <w:link w:val="56"/>
    <w:semiHidden/>
    <w:qFormat/>
    <w:uiPriority w:val="0"/>
    <w:pPr>
      <w:jc w:val="left"/>
    </w:pPr>
  </w:style>
  <w:style w:type="paragraph" w:styleId="14">
    <w:name w:val="toc 7"/>
    <w:basedOn w:val="1"/>
    <w:next w:val="1"/>
    <w:qFormat/>
    <w:uiPriority w:val="0"/>
    <w:pPr>
      <w:ind w:left="2520" w:leftChars="1200"/>
    </w:pPr>
  </w:style>
  <w:style w:type="paragraph" w:styleId="15">
    <w:name w:val="Body Text First Indent"/>
    <w:basedOn w:val="16"/>
    <w:link w:val="68"/>
    <w:qFormat/>
    <w:uiPriority w:val="0"/>
    <w:pPr>
      <w:spacing w:after="120"/>
      <w:ind w:firstLine="420" w:firstLineChars="100"/>
    </w:pPr>
    <w:rPr>
      <w:rFonts w:eastAsia="宋体"/>
    </w:rPr>
  </w:style>
  <w:style w:type="paragraph" w:styleId="16">
    <w:name w:val="Body Text"/>
    <w:basedOn w:val="1"/>
    <w:link w:val="80"/>
    <w:qFormat/>
    <w:uiPriority w:val="0"/>
    <w:rPr>
      <w:rFonts w:ascii="仿宋_GB2312" w:eastAsia="仿宋_GB2312" w:cs="仿宋_GB2312"/>
      <w:kern w:val="0"/>
      <w:sz w:val="24"/>
      <w:szCs w:val="24"/>
    </w:rPr>
  </w:style>
  <w:style w:type="paragraph" w:styleId="17">
    <w:name w:val="Document Map"/>
    <w:basedOn w:val="1"/>
    <w:link w:val="67"/>
    <w:semiHidden/>
    <w:qFormat/>
    <w:uiPriority w:val="0"/>
    <w:pPr>
      <w:shd w:val="clear" w:color="auto" w:fill="000080"/>
    </w:pPr>
    <w:rPr>
      <w:rFonts w:ascii="Calibri" w:hAnsi="Calibri" w:cs="Calibri"/>
      <w:kern w:val="0"/>
      <w:sz w:val="20"/>
      <w:szCs w:val="20"/>
    </w:rPr>
  </w:style>
  <w:style w:type="paragraph" w:styleId="18">
    <w:name w:val="Body Text 3"/>
    <w:basedOn w:val="1"/>
    <w:link w:val="89"/>
    <w:qFormat/>
    <w:uiPriority w:val="0"/>
    <w:pPr>
      <w:spacing w:after="120"/>
    </w:pPr>
    <w:rPr>
      <w:kern w:val="0"/>
      <w:sz w:val="16"/>
      <w:szCs w:val="16"/>
    </w:rPr>
  </w:style>
  <w:style w:type="paragraph" w:styleId="19">
    <w:name w:val="Body Text Indent"/>
    <w:basedOn w:val="1"/>
    <w:link w:val="62"/>
    <w:qFormat/>
    <w:uiPriority w:val="0"/>
    <w:pPr>
      <w:ind w:left="765"/>
    </w:pPr>
    <w:rPr>
      <w:rFonts w:ascii="仿宋_GB2312" w:eastAsia="仿宋_GB2312" w:cs="仿宋_GB2312"/>
      <w:kern w:val="0"/>
      <w:sz w:val="28"/>
      <w:szCs w:val="28"/>
    </w:rPr>
  </w:style>
  <w:style w:type="paragraph" w:styleId="20">
    <w:name w:val="Block Text"/>
    <w:basedOn w:val="1"/>
    <w:qFormat/>
    <w:uiPriority w:val="0"/>
    <w:pPr>
      <w:adjustRightInd w:val="0"/>
      <w:ind w:left="420" w:right="33"/>
      <w:jc w:val="left"/>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qFormat/>
    <w:uiPriority w:val="0"/>
    <w:pPr>
      <w:ind w:left="840" w:leftChars="400"/>
    </w:pPr>
  </w:style>
  <w:style w:type="paragraph" w:styleId="23">
    <w:name w:val="Plain Text"/>
    <w:basedOn w:val="1"/>
    <w:link w:val="57"/>
    <w:qFormat/>
    <w:uiPriority w:val="0"/>
    <w:rPr>
      <w:rFonts w:ascii="宋体" w:hAnsi="Courier New" w:cs="宋体"/>
      <w:kern w:val="0"/>
      <w:sz w:val="20"/>
      <w:szCs w:val="20"/>
    </w:rPr>
  </w:style>
  <w:style w:type="paragraph" w:styleId="24">
    <w:name w:val="toc 8"/>
    <w:basedOn w:val="1"/>
    <w:next w:val="1"/>
    <w:qFormat/>
    <w:uiPriority w:val="0"/>
    <w:pPr>
      <w:ind w:left="2940" w:leftChars="1400"/>
    </w:pPr>
  </w:style>
  <w:style w:type="paragraph" w:styleId="25">
    <w:name w:val="Date"/>
    <w:basedOn w:val="1"/>
    <w:next w:val="1"/>
    <w:link w:val="70"/>
    <w:qFormat/>
    <w:uiPriority w:val="0"/>
    <w:rPr>
      <w:kern w:val="0"/>
      <w:sz w:val="24"/>
      <w:szCs w:val="24"/>
    </w:rPr>
  </w:style>
  <w:style w:type="paragraph" w:styleId="26">
    <w:name w:val="Body Text Indent 2"/>
    <w:basedOn w:val="1"/>
    <w:link w:val="81"/>
    <w:qFormat/>
    <w:uiPriority w:val="0"/>
    <w:pPr>
      <w:spacing w:line="500" w:lineRule="exact"/>
      <w:ind w:firstLine="560" w:firstLineChars="200"/>
    </w:pPr>
    <w:rPr>
      <w:rFonts w:eastAsia="仿宋_GB2312"/>
      <w:kern w:val="0"/>
      <w:sz w:val="28"/>
      <w:szCs w:val="28"/>
    </w:rPr>
  </w:style>
  <w:style w:type="paragraph" w:styleId="27">
    <w:name w:val="Balloon Text"/>
    <w:basedOn w:val="1"/>
    <w:link w:val="58"/>
    <w:semiHidden/>
    <w:qFormat/>
    <w:uiPriority w:val="0"/>
    <w:rPr>
      <w:rFonts w:ascii="Calibri" w:hAnsi="Calibri" w:cs="Calibri"/>
      <w:kern w:val="0"/>
      <w:sz w:val="18"/>
      <w:szCs w:val="18"/>
    </w:rPr>
  </w:style>
  <w:style w:type="paragraph" w:styleId="28">
    <w:name w:val="footer"/>
    <w:basedOn w:val="1"/>
    <w:link w:val="65"/>
    <w:qFormat/>
    <w:uiPriority w:val="0"/>
    <w:pPr>
      <w:tabs>
        <w:tab w:val="center" w:pos="4153"/>
        <w:tab w:val="right" w:pos="8306"/>
      </w:tabs>
      <w:snapToGrid w:val="0"/>
      <w:jc w:val="left"/>
    </w:pPr>
    <w:rPr>
      <w:kern w:val="0"/>
      <w:sz w:val="18"/>
      <w:szCs w:val="18"/>
    </w:rPr>
  </w:style>
  <w:style w:type="paragraph" w:styleId="29">
    <w:name w:val="header"/>
    <w:basedOn w:val="1"/>
    <w:link w:val="48"/>
    <w:qFormat/>
    <w:uiPriority w:val="0"/>
    <w:pPr>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rPr>
      <w:sz w:val="32"/>
    </w:rPr>
  </w:style>
  <w:style w:type="paragraph" w:styleId="31">
    <w:name w:val="toc 4"/>
    <w:basedOn w:val="1"/>
    <w:next w:val="1"/>
    <w:qFormat/>
    <w:uiPriority w:val="0"/>
    <w:pPr>
      <w:ind w:left="1260" w:leftChars="600"/>
    </w:pPr>
  </w:style>
  <w:style w:type="paragraph" w:styleId="32">
    <w:name w:val="Subtitle"/>
    <w:basedOn w:val="1"/>
    <w:next w:val="1"/>
    <w:link w:val="79"/>
    <w:qFormat/>
    <w:uiPriority w:val="0"/>
    <w:pPr>
      <w:spacing w:before="120" w:after="120" w:line="360" w:lineRule="auto"/>
      <w:ind w:firstLine="200" w:firstLineChars="200"/>
      <w:jc w:val="center"/>
      <w:outlineLvl w:val="1"/>
    </w:pPr>
    <w:rPr>
      <w:rFonts w:ascii="Cambria" w:hAnsi="Cambria" w:cs="Cambria"/>
      <w:b/>
      <w:bCs/>
      <w:kern w:val="28"/>
      <w:sz w:val="32"/>
      <w:szCs w:val="32"/>
    </w:rPr>
  </w:style>
  <w:style w:type="paragraph" w:styleId="33">
    <w:name w:val="List"/>
    <w:basedOn w:val="1"/>
    <w:qFormat/>
    <w:uiPriority w:val="0"/>
    <w:pPr>
      <w:ind w:left="200" w:hanging="200" w:hangingChars="200"/>
    </w:pPr>
  </w:style>
  <w:style w:type="paragraph" w:styleId="34">
    <w:name w:val="toc 6"/>
    <w:basedOn w:val="1"/>
    <w:next w:val="1"/>
    <w:qFormat/>
    <w:uiPriority w:val="0"/>
    <w:pPr>
      <w:ind w:left="2100" w:leftChars="1000"/>
    </w:pPr>
  </w:style>
  <w:style w:type="paragraph" w:styleId="35">
    <w:name w:val="Body Text Indent 3"/>
    <w:basedOn w:val="1"/>
    <w:link w:val="64"/>
    <w:qFormat/>
    <w:uiPriority w:val="0"/>
    <w:pPr>
      <w:spacing w:after="120"/>
      <w:ind w:left="420" w:leftChars="200"/>
    </w:pPr>
    <w:rPr>
      <w:kern w:val="0"/>
      <w:sz w:val="16"/>
      <w:szCs w:val="16"/>
    </w:rPr>
  </w:style>
  <w:style w:type="paragraph" w:styleId="36">
    <w:name w:val="toc 2"/>
    <w:basedOn w:val="1"/>
    <w:next w:val="1"/>
    <w:qFormat/>
    <w:uiPriority w:val="0"/>
    <w:pPr>
      <w:ind w:left="420" w:leftChars="200"/>
    </w:pPr>
  </w:style>
  <w:style w:type="paragraph" w:styleId="37">
    <w:name w:val="toc 9"/>
    <w:basedOn w:val="1"/>
    <w:next w:val="1"/>
    <w:qFormat/>
    <w:uiPriority w:val="0"/>
    <w:pPr>
      <w:ind w:left="3360" w:leftChars="1600"/>
    </w:pPr>
  </w:style>
  <w:style w:type="paragraph" w:styleId="38">
    <w:name w:val="Body Text 2"/>
    <w:basedOn w:val="1"/>
    <w:link w:val="73"/>
    <w:qFormat/>
    <w:uiPriority w:val="0"/>
    <w:pPr>
      <w:snapToGrid w:val="0"/>
    </w:pPr>
    <w:rPr>
      <w:b/>
      <w:bCs/>
      <w:kern w:val="0"/>
      <w:sz w:val="18"/>
      <w:szCs w:val="18"/>
    </w:rPr>
  </w:style>
  <w:style w:type="paragraph" w:styleId="39">
    <w:name w:val="Normal (Web)"/>
    <w:basedOn w:val="1"/>
    <w:qFormat/>
    <w:uiPriority w:val="0"/>
    <w:pPr>
      <w:widowControl/>
      <w:spacing w:before="100" w:beforeAutospacing="1" w:after="100" w:afterAutospacing="1"/>
      <w:jc w:val="left"/>
    </w:pPr>
    <w:rPr>
      <w:rFonts w:ascii="宋体" w:hAnsi="宋体" w:cs="宋体"/>
      <w:color w:val="000000"/>
      <w:kern w:val="0"/>
      <w:sz w:val="24"/>
      <w:szCs w:val="24"/>
    </w:rPr>
  </w:style>
  <w:style w:type="character" w:styleId="41">
    <w:name w:val="Strong"/>
    <w:qFormat/>
    <w:uiPriority w:val="0"/>
    <w:rPr>
      <w:b/>
      <w:bCs/>
    </w:rPr>
  </w:style>
  <w:style w:type="character" w:styleId="42">
    <w:name w:val="page number"/>
    <w:basedOn w:val="40"/>
    <w:qFormat/>
    <w:uiPriority w:val="0"/>
  </w:style>
  <w:style w:type="character" w:styleId="43">
    <w:name w:val="FollowedHyperlink"/>
    <w:basedOn w:val="40"/>
    <w:qFormat/>
    <w:uiPriority w:val="0"/>
    <w:rPr>
      <w:rFonts w:hint="eastAsia" w:ascii="宋体" w:hAnsi="宋体" w:eastAsia="宋体" w:cs="宋体"/>
      <w:color w:val="0055A0"/>
      <w:sz w:val="14"/>
      <w:szCs w:val="14"/>
      <w:u w:val="none"/>
    </w:rPr>
  </w:style>
  <w:style w:type="character" w:styleId="44">
    <w:name w:val="Hyperlink"/>
    <w:basedOn w:val="40"/>
    <w:qFormat/>
    <w:uiPriority w:val="99"/>
    <w:rPr>
      <w:rFonts w:hint="eastAsia" w:ascii="宋体" w:hAnsi="宋体" w:eastAsia="宋体" w:cs="宋体"/>
      <w:color w:val="0055A0"/>
      <w:sz w:val="14"/>
      <w:szCs w:val="14"/>
      <w:u w:val="none"/>
    </w:rPr>
  </w:style>
  <w:style w:type="character" w:styleId="45">
    <w:name w:val="annotation reference"/>
    <w:qFormat/>
    <w:uiPriority w:val="0"/>
    <w:rPr>
      <w:sz w:val="21"/>
      <w:szCs w:val="21"/>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8">
    <w:name w:val="页眉 Char"/>
    <w:link w:val="29"/>
    <w:qFormat/>
    <w:locked/>
    <w:uiPriority w:val="0"/>
    <w:rPr>
      <w:rFonts w:eastAsia="宋体"/>
      <w:sz w:val="18"/>
      <w:szCs w:val="18"/>
      <w:lang w:val="en-US" w:eastAsia="zh-CN" w:bidi="ar-SA"/>
    </w:rPr>
  </w:style>
  <w:style w:type="character" w:customStyle="1" w:styleId="49">
    <w:name w:val="point_normal1"/>
    <w:qFormat/>
    <w:uiPriority w:val="0"/>
    <w:rPr>
      <w:rFonts w:ascii="Arial" w:hAnsi="Arial" w:cs="Arial"/>
      <w:sz w:val="16"/>
      <w:szCs w:val="16"/>
    </w:rPr>
  </w:style>
  <w:style w:type="character" w:customStyle="1" w:styleId="50">
    <w:name w:val="ssss Char"/>
    <w:qFormat/>
    <w:uiPriority w:val="0"/>
    <w:rPr>
      <w:rFonts w:eastAsia="宋体"/>
      <w:kern w:val="2"/>
      <w:sz w:val="24"/>
      <w:szCs w:val="24"/>
      <w:lang w:val="en-US" w:eastAsia="zh-CN"/>
    </w:rPr>
  </w:style>
  <w:style w:type="character" w:customStyle="1" w:styleId="51">
    <w:name w:val="标题 1 Char"/>
    <w:link w:val="2"/>
    <w:qFormat/>
    <w:locked/>
    <w:uiPriority w:val="0"/>
    <w:rPr>
      <w:rFonts w:eastAsia="宋体"/>
      <w:b/>
      <w:bCs/>
      <w:kern w:val="44"/>
      <w:sz w:val="44"/>
      <w:szCs w:val="44"/>
      <w:lang w:val="en-US" w:eastAsia="zh-CN" w:bidi="ar-SA"/>
    </w:rPr>
  </w:style>
  <w:style w:type="character" w:customStyle="1" w:styleId="52">
    <w:name w:val="样式 ssss + 宋体 五号1 Char"/>
    <w:link w:val="53"/>
    <w:qFormat/>
    <w:locked/>
    <w:uiPriority w:val="0"/>
    <w:rPr>
      <w:rFonts w:ascii="宋体" w:hAnsi="宋体" w:eastAsia="宋体"/>
      <w:sz w:val="24"/>
      <w:szCs w:val="24"/>
      <w:lang w:bidi="ar-SA"/>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55"/>
    <w:qFormat/>
    <w:uiPriority w:val="0"/>
    <w:pPr>
      <w:spacing w:line="360" w:lineRule="auto"/>
      <w:ind w:firstLine="480" w:firstLineChars="200"/>
    </w:pPr>
    <w:rPr>
      <w:kern w:val="0"/>
      <w:sz w:val="24"/>
      <w:szCs w:val="24"/>
    </w:rPr>
  </w:style>
  <w:style w:type="character" w:customStyle="1" w:styleId="55">
    <w:name w:val="ssss Char1"/>
    <w:link w:val="54"/>
    <w:qFormat/>
    <w:locked/>
    <w:uiPriority w:val="0"/>
    <w:rPr>
      <w:rFonts w:eastAsia="宋体"/>
      <w:sz w:val="24"/>
      <w:szCs w:val="24"/>
      <w:lang w:bidi="ar-SA"/>
    </w:rPr>
  </w:style>
  <w:style w:type="character" w:customStyle="1" w:styleId="56">
    <w:name w:val="批注文字 Char"/>
    <w:link w:val="13"/>
    <w:semiHidden/>
    <w:qFormat/>
    <w:locked/>
    <w:uiPriority w:val="0"/>
    <w:rPr>
      <w:rFonts w:eastAsia="宋体"/>
      <w:kern w:val="2"/>
      <w:sz w:val="21"/>
      <w:szCs w:val="21"/>
      <w:lang w:val="en-US" w:eastAsia="zh-CN" w:bidi="ar-SA"/>
    </w:rPr>
  </w:style>
  <w:style w:type="character" w:customStyle="1" w:styleId="57">
    <w:name w:val="纯文本 Char"/>
    <w:link w:val="23"/>
    <w:qFormat/>
    <w:locked/>
    <w:uiPriority w:val="0"/>
    <w:rPr>
      <w:rFonts w:ascii="宋体" w:hAnsi="Courier New" w:eastAsia="宋体" w:cs="宋体"/>
      <w:lang w:val="en-US" w:eastAsia="zh-CN" w:bidi="ar-SA"/>
    </w:rPr>
  </w:style>
  <w:style w:type="character" w:customStyle="1" w:styleId="58">
    <w:name w:val="批注框文本 Char"/>
    <w:link w:val="27"/>
    <w:semiHidden/>
    <w:qFormat/>
    <w:locked/>
    <w:uiPriority w:val="0"/>
    <w:rPr>
      <w:rFonts w:ascii="Calibri" w:hAnsi="Calibri" w:eastAsia="宋体" w:cs="Calibri"/>
      <w:sz w:val="18"/>
      <w:szCs w:val="18"/>
      <w:lang w:val="en-US" w:eastAsia="zh-CN" w:bidi="ar-SA"/>
    </w:rPr>
  </w:style>
  <w:style w:type="character" w:customStyle="1" w:styleId="59">
    <w:name w:val="正文缩进 Char"/>
    <w:link w:val="5"/>
    <w:qFormat/>
    <w:locked/>
    <w:uiPriority w:val="0"/>
    <w:rPr>
      <w:rFonts w:eastAsia="宋体"/>
      <w:lang w:bidi="ar-SA"/>
    </w:rPr>
  </w:style>
  <w:style w:type="character" w:customStyle="1" w:styleId="60">
    <w:name w:val="正文缩进2格 Char"/>
    <w:link w:val="61"/>
    <w:qFormat/>
    <w:locked/>
    <w:uiPriority w:val="0"/>
    <w:rPr>
      <w:rFonts w:ascii="仿宋_GB2312" w:hAnsi="宋体" w:eastAsia="仿宋_GB2312"/>
      <w:sz w:val="28"/>
      <w:szCs w:val="28"/>
      <w:lang w:bidi="ar-SA"/>
    </w:rPr>
  </w:style>
  <w:style w:type="paragraph" w:customStyle="1" w:styleId="61">
    <w:name w:val="正文缩进2格"/>
    <w:basedOn w:val="1"/>
    <w:link w:val="60"/>
    <w:qFormat/>
    <w:uiPriority w:val="0"/>
    <w:pPr>
      <w:spacing w:line="600" w:lineRule="exact"/>
      <w:ind w:firstLine="639" w:firstLineChars="206"/>
    </w:pPr>
    <w:rPr>
      <w:rFonts w:ascii="仿宋_GB2312" w:hAnsi="宋体" w:eastAsia="仿宋_GB2312"/>
      <w:kern w:val="0"/>
      <w:sz w:val="28"/>
      <w:szCs w:val="28"/>
    </w:rPr>
  </w:style>
  <w:style w:type="character" w:customStyle="1" w:styleId="62">
    <w:name w:val="正文文本缩进 Char"/>
    <w:link w:val="19"/>
    <w:qFormat/>
    <w:locked/>
    <w:uiPriority w:val="0"/>
    <w:rPr>
      <w:rFonts w:ascii="仿宋_GB2312" w:eastAsia="仿宋_GB2312" w:cs="仿宋_GB2312"/>
      <w:sz w:val="28"/>
      <w:szCs w:val="28"/>
      <w:lang w:val="en-US" w:eastAsia="zh-CN" w:bidi="ar-SA"/>
    </w:rPr>
  </w:style>
  <w:style w:type="character" w:customStyle="1" w:styleId="63">
    <w:name w:val="cn_text1"/>
    <w:qFormat/>
    <w:uiPriority w:val="0"/>
    <w:rPr>
      <w:rFonts w:ascii="??" w:hAnsi="??" w:cs="??"/>
      <w:color w:val="auto"/>
      <w:spacing w:val="15"/>
      <w:sz w:val="18"/>
      <w:szCs w:val="18"/>
    </w:rPr>
  </w:style>
  <w:style w:type="character" w:customStyle="1" w:styleId="64">
    <w:name w:val="正文文本缩进 3 Char"/>
    <w:link w:val="35"/>
    <w:qFormat/>
    <w:locked/>
    <w:uiPriority w:val="0"/>
    <w:rPr>
      <w:rFonts w:eastAsia="宋体"/>
      <w:sz w:val="16"/>
      <w:szCs w:val="16"/>
      <w:lang w:val="en-US" w:eastAsia="zh-CN" w:bidi="ar-SA"/>
    </w:rPr>
  </w:style>
  <w:style w:type="character" w:customStyle="1" w:styleId="65">
    <w:name w:val="页脚 Char"/>
    <w:link w:val="28"/>
    <w:qFormat/>
    <w:locked/>
    <w:uiPriority w:val="0"/>
    <w:rPr>
      <w:rFonts w:eastAsia="宋体"/>
      <w:sz w:val="18"/>
      <w:szCs w:val="18"/>
      <w:lang w:val="en-US" w:eastAsia="zh-CN" w:bidi="ar-SA"/>
    </w:rPr>
  </w:style>
  <w:style w:type="character" w:customStyle="1" w:styleId="66">
    <w:name w:val="标题 6 Char"/>
    <w:link w:val="8"/>
    <w:qFormat/>
    <w:locked/>
    <w:uiPriority w:val="0"/>
    <w:rPr>
      <w:rFonts w:eastAsia="宋体"/>
      <w:b/>
      <w:bCs/>
      <w:sz w:val="44"/>
      <w:szCs w:val="44"/>
      <w:lang w:val="en-US" w:eastAsia="zh-CN" w:bidi="ar-SA"/>
    </w:rPr>
  </w:style>
  <w:style w:type="character" w:customStyle="1" w:styleId="67">
    <w:name w:val="文档结构图 Char"/>
    <w:link w:val="17"/>
    <w:semiHidden/>
    <w:qFormat/>
    <w:locked/>
    <w:uiPriority w:val="0"/>
    <w:rPr>
      <w:rFonts w:ascii="Calibri" w:hAnsi="Calibri" w:eastAsia="宋体" w:cs="Calibri"/>
      <w:lang w:val="en-US" w:eastAsia="zh-CN" w:bidi="ar-SA"/>
    </w:rPr>
  </w:style>
  <w:style w:type="character" w:customStyle="1" w:styleId="68">
    <w:name w:val="正文首行缩进 Char"/>
    <w:link w:val="15"/>
    <w:qFormat/>
    <w:locked/>
    <w:uiPriority w:val="0"/>
    <w:rPr>
      <w:rFonts w:ascii="仿宋_GB2312" w:eastAsia="宋体" w:cs="仿宋_GB2312"/>
      <w:sz w:val="24"/>
      <w:szCs w:val="24"/>
      <w:lang w:val="en-US" w:eastAsia="zh-CN" w:bidi="ar-SA"/>
    </w:rPr>
  </w:style>
  <w:style w:type="character" w:customStyle="1" w:styleId="69">
    <w:name w:val="标题 9 Char"/>
    <w:link w:val="11"/>
    <w:qFormat/>
    <w:locked/>
    <w:uiPriority w:val="0"/>
    <w:rPr>
      <w:rFonts w:ascii="Arial" w:hAnsi="Arial" w:eastAsia="黑体" w:cs="Arial"/>
      <w:sz w:val="24"/>
      <w:szCs w:val="24"/>
      <w:lang w:val="en-US" w:eastAsia="zh-CN" w:bidi="ar-SA"/>
    </w:rPr>
  </w:style>
  <w:style w:type="character" w:customStyle="1" w:styleId="70">
    <w:name w:val="日期 Char"/>
    <w:link w:val="25"/>
    <w:qFormat/>
    <w:locked/>
    <w:uiPriority w:val="0"/>
    <w:rPr>
      <w:rFonts w:eastAsia="宋体"/>
      <w:sz w:val="24"/>
      <w:szCs w:val="24"/>
      <w:lang w:val="en-US" w:eastAsia="zh-CN" w:bidi="ar-SA"/>
    </w:rPr>
  </w:style>
  <w:style w:type="character" w:customStyle="1" w:styleId="71">
    <w:name w:val="页码1"/>
    <w:qFormat/>
    <w:uiPriority w:val="0"/>
    <w:rPr>
      <w:rFonts w:cs="Times New Roman"/>
      <w:lang w:bidi="ar-SA"/>
    </w:rPr>
  </w:style>
  <w:style w:type="character" w:customStyle="1" w:styleId="72">
    <w:name w:val="apple-converted-space"/>
    <w:basedOn w:val="40"/>
    <w:qFormat/>
    <w:uiPriority w:val="0"/>
  </w:style>
  <w:style w:type="character" w:customStyle="1" w:styleId="73">
    <w:name w:val="正文文本 2 Char"/>
    <w:link w:val="38"/>
    <w:qFormat/>
    <w:locked/>
    <w:uiPriority w:val="0"/>
    <w:rPr>
      <w:rFonts w:eastAsia="宋体"/>
      <w:b/>
      <w:bCs/>
      <w:sz w:val="18"/>
      <w:szCs w:val="18"/>
      <w:lang w:val="en-US" w:eastAsia="zh-CN" w:bidi="ar-SA"/>
    </w:rPr>
  </w:style>
  <w:style w:type="character" w:customStyle="1" w:styleId="74">
    <w:name w:val="标题 2 Char"/>
    <w:link w:val="3"/>
    <w:qFormat/>
    <w:locked/>
    <w:uiPriority w:val="0"/>
    <w:rPr>
      <w:rFonts w:ascii="Arial" w:hAnsi="Arial" w:eastAsia="黑体" w:cs="Arial"/>
      <w:b/>
      <w:bCs/>
      <w:sz w:val="32"/>
      <w:szCs w:val="32"/>
      <w:lang w:val="en-US" w:eastAsia="zh-CN" w:bidi="ar-SA"/>
    </w:rPr>
  </w:style>
  <w:style w:type="character" w:customStyle="1" w:styleId="75">
    <w:name w:val="普通正文 Char"/>
    <w:link w:val="76"/>
    <w:qFormat/>
    <w:locked/>
    <w:uiPriority w:val="0"/>
    <w:rPr>
      <w:rFonts w:ascii="Arial" w:hAnsi="Arial" w:eastAsia="宋体"/>
      <w:sz w:val="24"/>
      <w:szCs w:val="24"/>
      <w:lang w:bidi="ar-SA"/>
    </w:rPr>
  </w:style>
  <w:style w:type="paragraph" w:customStyle="1" w:styleId="76">
    <w:name w:val="普通正文"/>
    <w:basedOn w:val="1"/>
    <w:link w:val="75"/>
    <w:qFormat/>
    <w:uiPriority w:val="0"/>
    <w:pPr>
      <w:adjustRightInd w:val="0"/>
      <w:spacing w:before="120" w:after="120" w:line="360" w:lineRule="auto"/>
      <w:ind w:left="-2" w:right="120" w:firstLine="480"/>
      <w:jc w:val="center"/>
      <w:textAlignment w:val="baseline"/>
    </w:pPr>
    <w:rPr>
      <w:rFonts w:ascii="Arial" w:hAnsi="Arial"/>
      <w:kern w:val="0"/>
      <w:sz w:val="24"/>
      <w:szCs w:val="24"/>
    </w:rPr>
  </w:style>
  <w:style w:type="character" w:customStyle="1" w:styleId="77">
    <w:name w:val="FA正文 Char"/>
    <w:link w:val="78"/>
    <w:qFormat/>
    <w:locked/>
    <w:uiPriority w:val="0"/>
    <w:rPr>
      <w:rFonts w:ascii="宋体" w:hAnsi="宋体" w:eastAsia="宋体"/>
      <w:sz w:val="28"/>
      <w:szCs w:val="28"/>
      <w:lang w:bidi="ar-SA"/>
    </w:rPr>
  </w:style>
  <w:style w:type="paragraph" w:customStyle="1" w:styleId="78">
    <w:name w:val="FA正文"/>
    <w:basedOn w:val="1"/>
    <w:link w:val="77"/>
    <w:qFormat/>
    <w:uiPriority w:val="0"/>
    <w:pPr>
      <w:tabs>
        <w:tab w:val="left" w:pos="3375"/>
      </w:tabs>
      <w:spacing w:line="440" w:lineRule="atLeast"/>
      <w:ind w:firstLine="538" w:firstLineChars="192"/>
    </w:pPr>
    <w:rPr>
      <w:rFonts w:ascii="宋体" w:hAnsi="宋体"/>
      <w:kern w:val="0"/>
      <w:sz w:val="28"/>
      <w:szCs w:val="28"/>
    </w:rPr>
  </w:style>
  <w:style w:type="character" w:customStyle="1" w:styleId="79">
    <w:name w:val="副标题 Char"/>
    <w:link w:val="32"/>
    <w:qFormat/>
    <w:locked/>
    <w:uiPriority w:val="0"/>
    <w:rPr>
      <w:rFonts w:ascii="Cambria" w:hAnsi="Cambria" w:eastAsia="宋体" w:cs="Cambria"/>
      <w:b/>
      <w:bCs/>
      <w:kern w:val="28"/>
      <w:sz w:val="32"/>
      <w:szCs w:val="32"/>
      <w:lang w:val="en-US" w:eastAsia="zh-CN" w:bidi="ar-SA"/>
    </w:rPr>
  </w:style>
  <w:style w:type="character" w:customStyle="1" w:styleId="80">
    <w:name w:val="正文文本 Char"/>
    <w:link w:val="16"/>
    <w:qFormat/>
    <w:locked/>
    <w:uiPriority w:val="0"/>
    <w:rPr>
      <w:rFonts w:ascii="仿宋_GB2312" w:eastAsia="仿宋_GB2312" w:cs="仿宋_GB2312"/>
      <w:sz w:val="24"/>
      <w:szCs w:val="24"/>
      <w:lang w:val="en-US" w:eastAsia="zh-CN" w:bidi="ar-SA"/>
    </w:rPr>
  </w:style>
  <w:style w:type="character" w:customStyle="1" w:styleId="81">
    <w:name w:val="正文文本缩进 2 Char"/>
    <w:link w:val="26"/>
    <w:qFormat/>
    <w:locked/>
    <w:uiPriority w:val="0"/>
    <w:rPr>
      <w:rFonts w:eastAsia="仿宋_GB2312"/>
      <w:sz w:val="28"/>
      <w:szCs w:val="28"/>
      <w:lang w:val="en-US" w:eastAsia="zh-CN" w:bidi="ar-SA"/>
    </w:rPr>
  </w:style>
  <w:style w:type="character" w:customStyle="1" w:styleId="82">
    <w:name w:val="批注主题 Char"/>
    <w:link w:val="12"/>
    <w:semiHidden/>
    <w:qFormat/>
    <w:locked/>
    <w:uiPriority w:val="0"/>
    <w:rPr>
      <w:rFonts w:eastAsia="宋体"/>
      <w:b/>
      <w:bCs/>
      <w:kern w:val="2"/>
      <w:sz w:val="21"/>
      <w:szCs w:val="21"/>
      <w:lang w:val="en-US" w:eastAsia="zh-CN" w:bidi="ar-SA"/>
    </w:rPr>
  </w:style>
  <w:style w:type="character" w:customStyle="1" w:styleId="83">
    <w:name w:val="标题 5 Char"/>
    <w:link w:val="7"/>
    <w:qFormat/>
    <w:locked/>
    <w:uiPriority w:val="0"/>
    <w:rPr>
      <w:rFonts w:eastAsia="宋体"/>
      <w:b/>
      <w:bCs/>
      <w:sz w:val="28"/>
      <w:szCs w:val="28"/>
      <w:lang w:val="en-US" w:eastAsia="zh-CN" w:bidi="ar-SA"/>
    </w:rPr>
  </w:style>
  <w:style w:type="character" w:customStyle="1" w:styleId="84">
    <w:name w:val="标题 7 Char"/>
    <w:link w:val="9"/>
    <w:qFormat/>
    <w:locked/>
    <w:uiPriority w:val="0"/>
    <w:rPr>
      <w:rFonts w:eastAsia="宋体"/>
      <w:b/>
      <w:bCs/>
      <w:sz w:val="24"/>
      <w:szCs w:val="24"/>
      <w:lang w:val="en-US" w:eastAsia="zh-CN" w:bidi="ar-SA"/>
    </w:rPr>
  </w:style>
  <w:style w:type="character" w:customStyle="1" w:styleId="85">
    <w:name w:val="标题 4 Char"/>
    <w:link w:val="6"/>
    <w:qFormat/>
    <w:locked/>
    <w:uiPriority w:val="0"/>
    <w:rPr>
      <w:rFonts w:eastAsia="新宋体"/>
      <w:sz w:val="30"/>
      <w:szCs w:val="30"/>
      <w:lang w:val="en-US" w:eastAsia="zh-CN" w:bidi="ar-SA"/>
    </w:rPr>
  </w:style>
  <w:style w:type="character" w:customStyle="1" w:styleId="86">
    <w:name w:val="标题 3 Char"/>
    <w:link w:val="4"/>
    <w:qFormat/>
    <w:locked/>
    <w:uiPriority w:val="0"/>
    <w:rPr>
      <w:rFonts w:eastAsia="宋体"/>
      <w:b/>
      <w:bCs/>
      <w:sz w:val="32"/>
      <w:szCs w:val="32"/>
      <w:lang w:val="en-US" w:eastAsia="zh-CN" w:bidi="ar-SA"/>
    </w:rPr>
  </w:style>
  <w:style w:type="character" w:customStyle="1" w:styleId="87">
    <w:name w:val="标题 4 Char1"/>
    <w:qFormat/>
    <w:uiPriority w:val="0"/>
    <w:rPr>
      <w:rFonts w:ascii="Arial" w:hAnsi="Arial" w:eastAsia="黑体" w:cs="Arial"/>
      <w:b/>
      <w:bCs/>
      <w:kern w:val="2"/>
      <w:sz w:val="28"/>
      <w:szCs w:val="28"/>
      <w:lang w:val="en-US" w:eastAsia="zh-CN"/>
    </w:rPr>
  </w:style>
  <w:style w:type="character" w:customStyle="1" w:styleId="88">
    <w:name w:val="标题 8 Char"/>
    <w:link w:val="10"/>
    <w:qFormat/>
    <w:locked/>
    <w:uiPriority w:val="0"/>
    <w:rPr>
      <w:rFonts w:ascii="Arial" w:hAnsi="Arial" w:eastAsia="黑体" w:cs="Arial"/>
      <w:sz w:val="24"/>
      <w:szCs w:val="24"/>
      <w:lang w:val="en-US" w:eastAsia="zh-CN" w:bidi="ar-SA"/>
    </w:rPr>
  </w:style>
  <w:style w:type="character" w:customStyle="1" w:styleId="89">
    <w:name w:val="正文文本 3 Char"/>
    <w:link w:val="18"/>
    <w:qFormat/>
    <w:locked/>
    <w:uiPriority w:val="0"/>
    <w:rPr>
      <w:rFonts w:eastAsia="宋体"/>
      <w:sz w:val="16"/>
      <w:szCs w:val="16"/>
      <w:lang w:val="en-US" w:eastAsia="zh-CN" w:bidi="ar-SA"/>
    </w:rPr>
  </w:style>
  <w:style w:type="paragraph" w:customStyle="1" w:styleId="90">
    <w:name w:val="Char Char Char Char"/>
    <w:basedOn w:val="1"/>
    <w:qFormat/>
    <w:uiPriority w:val="0"/>
    <w:rPr>
      <w:rFonts w:ascii="仿宋_GB2312" w:eastAsia="仿宋_GB2312"/>
      <w:b/>
      <w:sz w:val="32"/>
      <w:szCs w:val="32"/>
    </w:rPr>
  </w:style>
  <w:style w:type="paragraph" w:customStyle="1" w:styleId="91">
    <w:name w:val="标题------4"/>
    <w:basedOn w:val="6"/>
    <w:qFormat/>
    <w:uiPriority w:val="0"/>
    <w:pPr>
      <w:keepLines/>
      <w:spacing w:line="360" w:lineRule="auto"/>
      <w:ind w:left="960" w:hanging="420"/>
      <w:jc w:val="both"/>
    </w:pPr>
    <w:rPr>
      <w:rFonts w:ascii="仿宋_GB2312" w:hAnsi="宋体" w:eastAsia="仿宋_GB2312" w:cs="仿宋_GB2312"/>
      <w:b/>
      <w:bCs/>
      <w:sz w:val="28"/>
      <w:szCs w:val="28"/>
      <w:lang w:val="zh-CN"/>
    </w:rPr>
  </w:style>
  <w:style w:type="paragraph" w:customStyle="1" w:styleId="92">
    <w:name w:val="正文样式1"/>
    <w:basedOn w:val="1"/>
    <w:qFormat/>
    <w:uiPriority w:val="0"/>
    <w:pPr>
      <w:spacing w:before="120" w:after="120" w:line="360" w:lineRule="auto"/>
      <w:ind w:firstLine="480" w:firstLineChars="200"/>
    </w:pPr>
    <w:rPr>
      <w:sz w:val="24"/>
      <w:szCs w:val="24"/>
    </w:rPr>
  </w:style>
  <w:style w:type="paragraph" w:customStyle="1" w:styleId="93">
    <w:name w:val="Char Char Char Char Char Char Char Char Char Char Char Char Char1"/>
    <w:basedOn w:val="1"/>
    <w:qFormat/>
    <w:uiPriority w:val="0"/>
    <w:rPr>
      <w:sz w:val="24"/>
      <w:szCs w:val="24"/>
    </w:rPr>
  </w:style>
  <w:style w:type="paragraph" w:customStyle="1" w:styleId="94">
    <w:name w:val="样式 ssss + 宋体 五号"/>
    <w:basedOn w:val="54"/>
    <w:qFormat/>
    <w:uiPriority w:val="0"/>
    <w:pPr>
      <w:ind w:firstLine="420"/>
    </w:pPr>
    <w:rPr>
      <w:rFonts w:ascii="宋体" w:hAnsi="宋体" w:cs="宋体"/>
    </w:rPr>
  </w:style>
  <w:style w:type="paragraph" w:customStyle="1" w:styleId="95">
    <w:name w:val="样式 ssss + 居中"/>
    <w:basedOn w:val="54"/>
    <w:qFormat/>
    <w:uiPriority w:val="0"/>
    <w:pPr>
      <w:jc w:val="center"/>
    </w:pPr>
  </w:style>
  <w:style w:type="paragraph" w:customStyle="1" w:styleId="96">
    <w:name w:val="Char Char Char Char Char Char Char Char Char Char"/>
    <w:basedOn w:val="1"/>
    <w:qFormat/>
    <w:uiPriority w:val="0"/>
    <w:rPr>
      <w:rFonts w:ascii="Tahoma" w:hAnsi="Tahoma" w:cs="Tahoma"/>
      <w:sz w:val="24"/>
      <w:szCs w:val="24"/>
    </w:rPr>
  </w:style>
  <w:style w:type="paragraph" w:customStyle="1" w:styleId="97">
    <w:name w:val="标题-----3"/>
    <w:basedOn w:val="4"/>
    <w:qFormat/>
    <w:uiPriority w:val="0"/>
    <w:pPr>
      <w:spacing w:before="0" w:after="0" w:line="240" w:lineRule="auto"/>
      <w:outlineLvl w:val="0"/>
    </w:pPr>
    <w:rPr>
      <w:rFonts w:ascii="宋体" w:hAnsi="宋体" w:cs="宋体"/>
      <w:b w:val="0"/>
      <w:bCs w:val="0"/>
      <w:sz w:val="28"/>
      <w:szCs w:val="28"/>
    </w:rPr>
  </w:style>
  <w:style w:type="paragraph" w:customStyle="1" w:styleId="98">
    <w:name w:val="表格文字"/>
    <w:basedOn w:val="1"/>
    <w:qFormat/>
    <w:uiPriority w:val="0"/>
    <w:pPr>
      <w:adjustRightInd w:val="0"/>
      <w:spacing w:line="420" w:lineRule="atLeast"/>
      <w:jc w:val="left"/>
      <w:textAlignment w:val="baseline"/>
    </w:pPr>
    <w:rPr>
      <w:kern w:val="0"/>
    </w:rPr>
  </w:style>
  <w:style w:type="paragraph" w:customStyle="1" w:styleId="99">
    <w:name w:val="Char Char Char Char Char Char Char Char Char Char Char Char Char"/>
    <w:basedOn w:val="1"/>
    <w:qFormat/>
    <w:uiPriority w:val="0"/>
  </w:style>
  <w:style w:type="paragraph" w:customStyle="1" w:styleId="100">
    <w:name w:val="xl25"/>
    <w:basedOn w:val="1"/>
    <w:qFormat/>
    <w:uiPriority w:val="0"/>
    <w:pPr>
      <w:widowControl/>
      <w:pBdr>
        <w:bottom w:val="single" w:color="auto" w:sz="4" w:space="0"/>
        <w:right w:val="single" w:color="auto" w:sz="4" w:space="0"/>
      </w:pBdr>
      <w:spacing w:before="100" w:beforeAutospacing="1" w:after="100" w:afterAutospacing="1"/>
    </w:pPr>
    <w:rPr>
      <w:rFonts w:ascii="华文细黑" w:hAnsi="华文细黑" w:eastAsia="华文细黑" w:cs="华文细黑"/>
      <w:kern w:val="0"/>
      <w:sz w:val="18"/>
      <w:szCs w:val="18"/>
    </w:rPr>
  </w:style>
  <w:style w:type="paragraph" w:customStyle="1" w:styleId="101">
    <w:name w:val="Char1"/>
    <w:basedOn w:val="1"/>
    <w:qFormat/>
    <w:uiPriority w:val="0"/>
    <w:pPr>
      <w:tabs>
        <w:tab w:val="left" w:pos="360"/>
      </w:tabs>
    </w:pPr>
    <w:rPr>
      <w:sz w:val="24"/>
      <w:szCs w:val="24"/>
    </w:rPr>
  </w:style>
  <w:style w:type="paragraph" w:customStyle="1" w:styleId="102">
    <w:name w:val="Header2"/>
    <w:basedOn w:val="1"/>
    <w:qFormat/>
    <w:uiPriority w:val="0"/>
    <w:pPr>
      <w:numPr>
        <w:ilvl w:val="0"/>
        <w:numId w:val="1"/>
      </w:numPr>
    </w:pPr>
  </w:style>
  <w:style w:type="paragraph" w:customStyle="1" w:styleId="103">
    <w:name w:val="Normal1"/>
    <w:qFormat/>
    <w:uiPriority w:val="0"/>
    <w:pPr>
      <w:widowControl w:val="0"/>
      <w:adjustRightInd w:val="0"/>
      <w:spacing w:line="315" w:lineRule="atLeast"/>
      <w:jc w:val="both"/>
      <w:textAlignment w:val="baseline"/>
    </w:pPr>
    <w:rPr>
      <w:rFonts w:ascii="宋体" w:hAnsi="Times New Roman" w:eastAsia="宋体" w:cs="宋体"/>
      <w:sz w:val="24"/>
      <w:szCs w:val="24"/>
      <w:lang w:val="en-US" w:eastAsia="zh-CN" w:bidi="ar-SA"/>
    </w:rPr>
  </w:style>
  <w:style w:type="paragraph" w:customStyle="1" w:styleId="104">
    <w:name w:val="表格"/>
    <w:basedOn w:val="1"/>
    <w:qFormat/>
    <w:uiPriority w:val="0"/>
    <w:rPr>
      <w:rFonts w:ascii="Arial" w:hAnsi="Arial" w:cs="Arial"/>
      <w:sz w:val="24"/>
      <w:szCs w:val="24"/>
    </w:rPr>
  </w:style>
  <w:style w:type="paragraph" w:customStyle="1" w:styleId="105">
    <w:name w:val="样式 样式 ssss + 宋体 五号 + 首行缩进:  2 字符"/>
    <w:basedOn w:val="94"/>
    <w:qFormat/>
    <w:uiPriority w:val="0"/>
    <w:pPr>
      <w:ind w:firstLine="480"/>
    </w:pPr>
  </w:style>
  <w:style w:type="paragraph" w:customStyle="1" w:styleId="106">
    <w:name w:val="Char Char 字元 字元 字元 Char Char Char Char"/>
    <w:basedOn w:val="1"/>
    <w:qFormat/>
    <w:uiPriority w:val="0"/>
    <w:pPr>
      <w:adjustRightInd w:val="0"/>
      <w:spacing w:line="360" w:lineRule="auto"/>
    </w:pPr>
    <w:rPr>
      <w:kern w:val="0"/>
      <w:sz w:val="24"/>
      <w:szCs w:val="24"/>
    </w:rPr>
  </w:style>
  <w:style w:type="paragraph" w:customStyle="1" w:styleId="107">
    <w:name w:val="p0"/>
    <w:basedOn w:val="1"/>
    <w:qFormat/>
    <w:uiPriority w:val="0"/>
    <w:pPr>
      <w:widowControl/>
    </w:pPr>
    <w:rPr>
      <w:kern w:val="0"/>
    </w:rPr>
  </w:style>
  <w:style w:type="paragraph" w:customStyle="1" w:styleId="108">
    <w:name w:val="列出段落1"/>
    <w:basedOn w:val="1"/>
    <w:qFormat/>
    <w:uiPriority w:val="0"/>
    <w:pPr>
      <w:ind w:firstLine="420" w:firstLineChars="200"/>
    </w:pPr>
    <w:rPr>
      <w:rFonts w:ascii="Calibri" w:hAnsi="Calibri" w:cs="Calibri"/>
    </w:rPr>
  </w:style>
  <w:style w:type="paragraph" w:customStyle="1" w:styleId="109">
    <w:name w:val="Char Char Char Char Char Char Char Char Char Char1"/>
    <w:basedOn w:val="1"/>
    <w:qFormat/>
    <w:uiPriority w:val="0"/>
    <w:pPr>
      <w:widowControl/>
      <w:spacing w:after="160" w:line="240" w:lineRule="exact"/>
      <w:jc w:val="left"/>
    </w:pPr>
  </w:style>
  <w:style w:type="paragraph" w:customStyle="1" w:styleId="110">
    <w:name w:val="Char Char1 Char Char Char Char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111">
    <w:name w:val="Char"/>
    <w:basedOn w:val="1"/>
    <w:qFormat/>
    <w:uiPriority w:val="0"/>
    <w:rPr>
      <w:rFonts w:ascii="Tahoma" w:hAnsi="Tahoma" w:cs="Tahoma"/>
      <w:sz w:val="24"/>
      <w:szCs w:val="24"/>
    </w:rPr>
  </w:style>
  <w:style w:type="paragraph" w:customStyle="1" w:styleId="112">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cs="方正小标宋_GBK"/>
      <w:kern w:val="0"/>
      <w:sz w:val="44"/>
      <w:szCs w:val="44"/>
    </w:rPr>
  </w:style>
  <w:style w:type="paragraph" w:customStyle="1" w:styleId="113">
    <w:name w:val="样式 标题 3 + (中文) 黑体 小四 非加粗 段前: 7.8 磅 段后: 0 磅 行距: 固定值 20 磅"/>
    <w:basedOn w:val="4"/>
    <w:qFormat/>
    <w:uiPriority w:val="0"/>
    <w:pPr>
      <w:spacing w:before="0" w:after="0" w:line="400" w:lineRule="exact"/>
    </w:pPr>
    <w:rPr>
      <w:rFonts w:eastAsia="黑体"/>
      <w:b w:val="0"/>
      <w:bCs w:val="0"/>
      <w:kern w:val="2"/>
      <w:sz w:val="24"/>
      <w:szCs w:val="24"/>
    </w:rPr>
  </w:style>
  <w:style w:type="paragraph" w:customStyle="1" w:styleId="114">
    <w:name w:val="ec_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5">
    <w:name w:val="Char Char Char Char1"/>
    <w:basedOn w:val="1"/>
    <w:qFormat/>
    <w:uiPriority w:val="0"/>
    <w:rPr>
      <w:rFonts w:ascii="Tahoma" w:hAnsi="Tahoma" w:cs="Tahoma"/>
      <w:sz w:val="24"/>
      <w:szCs w:val="24"/>
    </w:rPr>
  </w:style>
  <w:style w:type="paragraph" w:customStyle="1" w:styleId="116">
    <w:name w:val="Char Char Char"/>
    <w:basedOn w:val="1"/>
    <w:qFormat/>
    <w:uiPriority w:val="0"/>
    <w:rPr>
      <w:rFonts w:ascii="Tahoma" w:hAnsi="Tahoma" w:cs="Tahoma"/>
      <w:sz w:val="24"/>
      <w:szCs w:val="24"/>
    </w:rPr>
  </w:style>
  <w:style w:type="paragraph" w:customStyle="1" w:styleId="117">
    <w:name w:val="p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8">
    <w:name w:val="样式 标题 2 + Times New Roman 四号 非加粗 段前: 5 磅 段后: 0 磅 行距: 固定值 20..."/>
    <w:basedOn w:val="3"/>
    <w:qFormat/>
    <w:uiPriority w:val="0"/>
    <w:pPr>
      <w:spacing w:before="100" w:after="0" w:line="400" w:lineRule="exact"/>
    </w:pPr>
    <w:rPr>
      <w:rFonts w:ascii="Times New Roman" w:hAnsi="Times New Roman" w:cs="Times New Roman"/>
      <w:b w:val="0"/>
      <w:bCs w:val="0"/>
      <w:kern w:val="2"/>
      <w:sz w:val="28"/>
      <w:szCs w:val="28"/>
    </w:rPr>
  </w:style>
  <w:style w:type="paragraph" w:customStyle="1" w:styleId="119">
    <w:name w:val="样式 宋体 四号 黑色 左侧:  0.74 厘米 首行缩进:  0.74 厘米 行距: 1.5 倍行距"/>
    <w:basedOn w:val="1"/>
    <w:qFormat/>
    <w:uiPriority w:val="0"/>
    <w:pPr>
      <w:spacing w:line="360" w:lineRule="auto"/>
      <w:ind w:firstLine="420"/>
    </w:pPr>
    <w:rPr>
      <w:rFonts w:ascii="宋体" w:cs="宋体"/>
      <w:color w:val="000000"/>
      <w:sz w:val="24"/>
      <w:szCs w:val="24"/>
    </w:rPr>
  </w:style>
  <w:style w:type="paragraph" w:customStyle="1" w:styleId="120">
    <w:name w:val="Revision1"/>
    <w:qFormat/>
    <w:uiPriority w:val="0"/>
    <w:rPr>
      <w:rFonts w:ascii="Times New Roman" w:hAnsi="Times New Roman" w:eastAsia="宋体" w:cs="Times New Roman"/>
      <w:kern w:val="2"/>
      <w:sz w:val="21"/>
      <w:szCs w:val="21"/>
      <w:lang w:val="en-US" w:eastAsia="zh-CN" w:bidi="ar-SA"/>
    </w:rPr>
  </w:style>
  <w:style w:type="paragraph" w:customStyle="1" w:styleId="121">
    <w:name w:val="Char Char Char Char2"/>
    <w:basedOn w:val="1"/>
    <w:qFormat/>
    <w:uiPriority w:val="0"/>
    <w:rPr>
      <w:rFonts w:ascii="Tahoma" w:hAnsi="Tahoma" w:cs="Tahoma"/>
      <w:sz w:val="24"/>
      <w:szCs w:val="24"/>
    </w:rPr>
  </w:style>
  <w:style w:type="paragraph" w:customStyle="1" w:styleId="122">
    <w:name w:val="样式 正文文本缩进 3 + 四号"/>
    <w:basedOn w:val="35"/>
    <w:qFormat/>
    <w:uiPriority w:val="0"/>
    <w:pPr>
      <w:spacing w:after="0" w:line="360" w:lineRule="auto"/>
      <w:ind w:left="0" w:leftChars="0" w:firstLine="437"/>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6"/>
    <customShpInfo spid="_x0000_s2055"/>
    <customShpInfo spid="_x0000_s2052"/>
    <customShpInfo spid="_x0000_s2058"/>
    <customShpInfo spid="_x0000_s2051"/>
    <customShpInfo spid="_x0000_s2059"/>
    <customShpInfo spid="_x0000_s2057"/>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14541</Words>
  <Characters>5111</Characters>
  <Lines>42</Lines>
  <Paragraphs>39</Paragraphs>
  <ScaleCrop>false</ScaleCrop>
  <LinksUpToDate>false</LinksUpToDate>
  <CharactersWithSpaces>19613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2017-02-16T10:07:00Z</dcterms:created>
  <dc:creator>User</dc:creator>
  <cp:lastModifiedBy>未定义</cp:lastModifiedBy>
  <cp:lastPrinted>2017-02-20T09:34:00Z</cp:lastPrinted>
  <dcterms:modified xsi:type="dcterms:W3CDTF">2017-02-23T01:53:54Z</dcterms:modified>
  <dc:subject>d</dc:subject>
  <dc:title>大成公司</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